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1"/>
        <w:gridCol w:w="2970"/>
      </w:tblGrid>
      <w:tr>
        <w:trPr>
          <w:trHeight w:val="2185" w:hRule="atLeast"/>
        </w:trPr>
        <w:tc>
          <w:tcPr>
            <w:tcW w:w="6771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750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Department for Environment, </w:t>
            </w:r>
            <w:r>
              <w:rPr>
                <w:color w:val="231F20"/>
                <w:sz w:val="24"/>
              </w:rPr>
              <w:t>Food &amp; Rural Affairs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1st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Floor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Seacole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Block</w:t>
            </w:r>
          </w:p>
          <w:p>
            <w:pPr>
              <w:pStyle w:val="TableParagraph"/>
              <w:spacing w:line="278" w:lineRule="auto" w:before="44"/>
              <w:ind w:right="5006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Marsham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London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SW1P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4DF</w:t>
            </w:r>
          </w:p>
        </w:tc>
        <w:tc>
          <w:tcPr>
            <w:tcW w:w="2970" w:type="dxa"/>
          </w:tcPr>
          <w:p>
            <w:pPr>
              <w:pStyle w:val="TableParagraph"/>
              <w:spacing w:line="278" w:lineRule="auto"/>
              <w:ind w:left="1766" w:right="48" w:firstLine="82"/>
              <w:jc w:val="right"/>
              <w:rPr>
                <w:sz w:val="24"/>
              </w:rPr>
            </w:pPr>
            <w:r>
              <w:rPr>
                <w:color w:val="CD2027"/>
                <w:sz w:val="24"/>
              </w:rPr>
              <w:t>Your</w:t>
            </w:r>
            <w:r>
              <w:rPr>
                <w:color w:val="CD2027"/>
                <w:spacing w:val="-14"/>
                <w:sz w:val="24"/>
              </w:rPr>
              <w:t> </w:t>
            </w:r>
            <w:r>
              <w:rPr>
                <w:color w:val="CD2027"/>
                <w:sz w:val="24"/>
              </w:rPr>
              <w:t>name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and</w:t>
            </w:r>
            <w:r>
              <w:rPr>
                <w:color w:val="CD2027"/>
                <w:spacing w:val="8"/>
                <w:sz w:val="24"/>
              </w:rPr>
              <w:t> </w:t>
            </w:r>
            <w:r>
              <w:rPr>
                <w:color w:val="CD2027"/>
                <w:sz w:val="24"/>
              </w:rPr>
              <w:t>address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goes</w:t>
            </w:r>
            <w:r>
              <w:rPr>
                <w:color w:val="CD2027"/>
                <w:spacing w:val="7"/>
                <w:sz w:val="24"/>
              </w:rPr>
              <w:t> </w:t>
            </w:r>
            <w:r>
              <w:rPr>
                <w:color w:val="CD2027"/>
                <w:sz w:val="24"/>
              </w:rPr>
              <w:t>here</w:t>
            </w:r>
          </w:p>
        </w:tc>
      </w:tr>
    </w:tbl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5"/>
        </w:rPr>
      </w:pPr>
    </w:p>
    <w:p>
      <w:pPr>
        <w:pStyle w:val="BodyText"/>
        <w:spacing w:before="90"/>
        <w:ind w:left="153"/>
        <w:jc w:val="left"/>
      </w:pPr>
      <w:r>
        <w:rPr>
          <w:color w:val="231F20"/>
        </w:rPr>
        <w:t>Date:</w:t>
      </w:r>
      <w:r>
        <w:rPr>
          <w:color w:val="231F20"/>
          <w:spacing w:val="13"/>
        </w:rPr>
        <w:t> </w:t>
      </w:r>
      <w:r>
        <w:rPr>
          <w:color w:val="CD2027"/>
        </w:rPr>
        <w:t>??????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Title"/>
      </w:pPr>
      <w:r>
        <w:rPr>
          <w:color w:val="231F20"/>
        </w:rPr>
        <w:t>Notice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Opportunity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Cure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5"/>
        <w:jc w:val="left"/>
        <w:rPr>
          <w:b/>
          <w:sz w:val="20"/>
        </w:rPr>
      </w:pPr>
    </w:p>
    <w:p>
      <w:pPr>
        <w:pStyle w:val="BodyText"/>
        <w:spacing w:line="278" w:lineRule="auto" w:before="1"/>
        <w:ind w:left="153" w:right="150"/>
      </w:pPr>
      <w:r>
        <w:rPr>
          <w:b/>
          <w:color w:val="231F20"/>
        </w:rPr>
        <w:t>FAO: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DEFRA,</w:t>
      </w:r>
      <w:r>
        <w:rPr>
          <w:color w:val="231F20"/>
          <w:spacing w:val="1"/>
        </w:rPr>
        <w:t> </w:t>
      </w:r>
      <w:r>
        <w:rPr>
          <w:color w:val="231F20"/>
        </w:rPr>
        <w:t>Department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Rural</w:t>
      </w:r>
      <w:r>
        <w:rPr>
          <w:color w:val="231F20"/>
          <w:spacing w:val="1"/>
        </w:rPr>
        <w:t> </w:t>
      </w:r>
      <w:r>
        <w:rPr>
          <w:color w:val="231F20"/>
        </w:rPr>
        <w:t>Affairs;</w:t>
      </w:r>
      <w:r>
        <w:rPr>
          <w:color w:val="231F20"/>
          <w:spacing w:val="1"/>
        </w:rPr>
        <w:t> </w:t>
      </w:r>
      <w:r>
        <w:rPr>
          <w:color w:val="231F20"/>
        </w:rPr>
        <w:t>Tamara</w:t>
      </w:r>
      <w:r>
        <w:rPr>
          <w:color w:val="231F20"/>
          <w:spacing w:val="1"/>
        </w:rPr>
        <w:t> </w:t>
      </w:r>
      <w:r>
        <w:rPr>
          <w:color w:val="231F20"/>
        </w:rPr>
        <w:t>Finkelstein,</w:t>
      </w:r>
      <w:r>
        <w:rPr>
          <w:color w:val="231F20"/>
          <w:spacing w:val="1"/>
        </w:rPr>
        <w:t> </w:t>
      </w:r>
      <w:r>
        <w:rPr>
          <w:color w:val="231F20"/>
        </w:rPr>
        <w:t>Permanent Secretary, Secretary of State for Environment, Food and Rural Affairs; Steve Barclay</w:t>
      </w:r>
      <w:r>
        <w:rPr>
          <w:color w:val="231F20"/>
          <w:spacing w:val="1"/>
        </w:rPr>
        <w:t> </w:t>
      </w:r>
      <w:r>
        <w:rPr>
          <w:color w:val="231F20"/>
        </w:rPr>
        <w:t>MP, Animal and Plant Health Agency; David Holdsworth CEO, The Chartered Trading Standards</w:t>
      </w:r>
      <w:r>
        <w:rPr>
          <w:color w:val="231F20"/>
          <w:spacing w:val="1"/>
        </w:rPr>
        <w:t> </w:t>
      </w:r>
      <w:r>
        <w:rPr>
          <w:color w:val="231F20"/>
        </w:rPr>
        <w:t>Institute;</w:t>
      </w:r>
      <w:r>
        <w:rPr>
          <w:color w:val="231F20"/>
          <w:spacing w:val="4"/>
        </w:rPr>
        <w:t> </w:t>
      </w:r>
      <w:r>
        <w:rPr>
          <w:color w:val="231F20"/>
        </w:rPr>
        <w:t>John</w:t>
      </w:r>
      <w:r>
        <w:rPr>
          <w:color w:val="231F20"/>
          <w:spacing w:val="5"/>
        </w:rPr>
        <w:t> </w:t>
      </w:r>
      <w:r>
        <w:rPr>
          <w:color w:val="231F20"/>
        </w:rPr>
        <w:t>Herriman</w:t>
      </w:r>
      <w:r>
        <w:rPr>
          <w:color w:val="231F20"/>
          <w:spacing w:val="5"/>
        </w:rPr>
        <w:t> </w:t>
      </w:r>
      <w:r>
        <w:rPr>
          <w:color w:val="231F20"/>
        </w:rPr>
        <w:t>Chief</w:t>
      </w:r>
      <w:r>
        <w:rPr>
          <w:color w:val="231F20"/>
          <w:spacing w:val="4"/>
        </w:rPr>
        <w:t> </w:t>
      </w:r>
      <w:r>
        <w:rPr>
          <w:color w:val="231F20"/>
        </w:rPr>
        <w:t>Executive.</w:t>
      </w:r>
    </w:p>
    <w:p>
      <w:pPr>
        <w:pStyle w:val="BodyText"/>
        <w:spacing w:before="169"/>
        <w:ind w:left="153"/>
      </w:pPr>
      <w:r>
        <w:rPr>
          <w:color w:val="231F20"/>
        </w:rPr>
        <w:t>Dear</w:t>
      </w:r>
      <w:r>
        <w:rPr>
          <w:color w:val="231F20"/>
          <w:spacing w:val="9"/>
        </w:rPr>
        <w:t> </w:t>
      </w:r>
      <w:r>
        <w:rPr>
          <w:color w:val="231F20"/>
        </w:rPr>
        <w:t>Sir</w:t>
      </w:r>
      <w:r>
        <w:rPr>
          <w:color w:val="231F20"/>
          <w:spacing w:val="9"/>
        </w:rPr>
        <w:t> </w:t>
      </w:r>
      <w:r>
        <w:rPr>
          <w:color w:val="231F20"/>
        </w:rPr>
        <w:t>/</w:t>
      </w:r>
      <w:r>
        <w:rPr>
          <w:color w:val="231F20"/>
          <w:spacing w:val="9"/>
        </w:rPr>
        <w:t> </w:t>
      </w:r>
      <w:r>
        <w:rPr>
          <w:color w:val="231F20"/>
        </w:rPr>
        <w:t>Madam,</w:t>
      </w:r>
    </w:p>
    <w:p>
      <w:pPr>
        <w:pStyle w:val="BodyText"/>
        <w:spacing w:line="278" w:lineRule="auto" w:before="214"/>
        <w:ind w:left="153" w:right="148"/>
      </w:pPr>
      <w:r>
        <w:rPr>
          <w:color w:val="231F20"/>
        </w:rPr>
        <w:t>Regarding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UK</w:t>
      </w:r>
      <w:r>
        <w:rPr>
          <w:color w:val="231F20"/>
          <w:spacing w:val="1"/>
        </w:rPr>
        <w:t> </w:t>
      </w:r>
      <w:r>
        <w:rPr>
          <w:color w:val="231F20"/>
        </w:rPr>
        <w:t>Government’s</w:t>
      </w:r>
      <w:r>
        <w:rPr>
          <w:color w:val="231F20"/>
          <w:spacing w:val="1"/>
        </w:rPr>
        <w:t> </w:t>
      </w:r>
      <w:r>
        <w:rPr>
          <w:color w:val="231F20"/>
        </w:rPr>
        <w:t>farming</w:t>
      </w:r>
      <w:r>
        <w:rPr>
          <w:color w:val="231F20"/>
          <w:spacing w:val="1"/>
        </w:rPr>
        <w:t> </w:t>
      </w:r>
      <w:r>
        <w:rPr>
          <w:color w:val="231F20"/>
        </w:rPr>
        <w:t>policies</w:t>
      </w:r>
      <w:r>
        <w:rPr>
          <w:color w:val="231F20"/>
          <w:spacing w:val="1"/>
        </w:rPr>
        <w:t> </w:t>
      </w:r>
      <w:r>
        <w:rPr>
          <w:color w:val="231F20"/>
        </w:rPr>
        <w:t>including,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limited</w:t>
      </w:r>
      <w:r>
        <w:rPr>
          <w:color w:val="231F20"/>
          <w:spacing w:val="1"/>
        </w:rPr>
        <w:t> </w:t>
      </w:r>
      <w:r>
        <w:rPr>
          <w:color w:val="231F20"/>
        </w:rPr>
        <w:t>to,</w:t>
      </w:r>
      <w:r>
        <w:rPr>
          <w:color w:val="231F20"/>
          <w:spacing w:val="1"/>
        </w:rPr>
        <w:t> </w:t>
      </w:r>
      <w:r>
        <w:rPr>
          <w:color w:val="231F20"/>
        </w:rPr>
        <w:t>livestock</w:t>
      </w:r>
      <w:r>
        <w:rPr>
          <w:color w:val="231F20"/>
          <w:spacing w:val="1"/>
        </w:rPr>
        <w:t> </w:t>
      </w:r>
      <w:r>
        <w:rPr>
          <w:color w:val="231F20"/>
        </w:rPr>
        <w:t>registration,</w:t>
      </w:r>
      <w:r>
        <w:rPr>
          <w:color w:val="231F20"/>
          <w:spacing w:val="6"/>
        </w:rPr>
        <w:t> </w:t>
      </w:r>
      <w:r>
        <w:rPr>
          <w:color w:val="231F20"/>
        </w:rPr>
        <w:t>tagging,</w:t>
      </w:r>
      <w:r>
        <w:rPr>
          <w:color w:val="231F20"/>
          <w:spacing w:val="6"/>
        </w:rPr>
        <w:t> </w:t>
      </w:r>
      <w:r>
        <w:rPr>
          <w:color w:val="231F20"/>
        </w:rPr>
        <w:t>movement</w:t>
      </w:r>
      <w:r>
        <w:rPr>
          <w:color w:val="231F20"/>
          <w:spacing w:val="6"/>
        </w:rPr>
        <w:t> </w:t>
      </w:r>
      <w:r>
        <w:rPr>
          <w:color w:val="231F20"/>
        </w:rPr>
        <w:t>restrictions,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‘Net</w:t>
      </w:r>
      <w:r>
        <w:rPr>
          <w:color w:val="231F20"/>
          <w:spacing w:val="6"/>
        </w:rPr>
        <w:t> </w:t>
      </w:r>
      <w:r>
        <w:rPr>
          <w:color w:val="231F20"/>
        </w:rPr>
        <w:t>Zero’</w:t>
      </w:r>
      <w:r>
        <w:rPr>
          <w:color w:val="231F20"/>
          <w:spacing w:val="-11"/>
        </w:rPr>
        <w:t> </w:t>
      </w:r>
      <w:r>
        <w:rPr>
          <w:color w:val="231F20"/>
        </w:rPr>
        <w:t>policies.</w:t>
      </w:r>
    </w:p>
    <w:p>
      <w:pPr>
        <w:pStyle w:val="BodyText"/>
        <w:spacing w:before="170"/>
        <w:ind w:left="153"/>
      </w:pPr>
      <w:r>
        <w:rPr>
          <w:color w:val="231F20"/>
        </w:rPr>
        <w:t>DEFRA’s</w:t>
      </w:r>
      <w:r>
        <w:rPr>
          <w:color w:val="231F20"/>
          <w:spacing w:val="7"/>
        </w:rPr>
        <w:t> </w:t>
      </w:r>
      <w:r>
        <w:rPr>
          <w:color w:val="231F20"/>
        </w:rPr>
        <w:t>website</w:t>
      </w:r>
      <w:r>
        <w:rPr>
          <w:color w:val="231F20"/>
          <w:spacing w:val="7"/>
        </w:rPr>
        <w:t> </w:t>
      </w:r>
      <w:r>
        <w:rPr>
          <w:color w:val="231F20"/>
        </w:rPr>
        <w:t>claim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following:</w:t>
      </w:r>
    </w:p>
    <w:p>
      <w:pPr>
        <w:pStyle w:val="BodyText"/>
        <w:spacing w:line="278" w:lineRule="auto" w:before="44"/>
        <w:ind w:left="153" w:right="147"/>
      </w:pPr>
      <w:r>
        <w:rPr>
          <w:color w:val="231F20"/>
        </w:rPr>
        <w:t>Tracing animals helps to control and eradicate bovine diseases such as Tuberculosis (TB), Bovine</w:t>
      </w:r>
      <w:r>
        <w:rPr>
          <w:color w:val="231F20"/>
          <w:spacing w:val="1"/>
        </w:rPr>
        <w:t> </w:t>
      </w:r>
      <w:r>
        <w:rPr>
          <w:color w:val="231F20"/>
        </w:rPr>
        <w:t>Viral Diarrhoea (BVD) or foot and mouth disease. It protects consumers by making sure that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human</w:t>
      </w:r>
      <w:r>
        <w:rPr>
          <w:color w:val="231F20"/>
          <w:spacing w:val="16"/>
        </w:rPr>
        <w:t> </w:t>
      </w:r>
      <w:r>
        <w:rPr>
          <w:color w:val="231F20"/>
        </w:rPr>
        <w:t>food</w:t>
      </w:r>
      <w:r>
        <w:rPr>
          <w:color w:val="231F20"/>
          <w:spacing w:val="17"/>
        </w:rPr>
        <w:t> </w:t>
      </w:r>
      <w:r>
        <w:rPr>
          <w:color w:val="231F20"/>
        </w:rPr>
        <w:t>chain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6"/>
        </w:rPr>
        <w:t> </w:t>
      </w:r>
      <w:r>
        <w:rPr>
          <w:color w:val="231F20"/>
        </w:rPr>
        <w:t>safe.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leading</w:t>
      </w:r>
      <w:r>
        <w:rPr>
          <w:color w:val="231F20"/>
          <w:spacing w:val="16"/>
        </w:rPr>
        <w:t> </w:t>
      </w:r>
      <w:r>
        <w:rPr>
          <w:color w:val="231F20"/>
        </w:rPr>
        <w:t>scientists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world</w:t>
      </w:r>
      <w:r>
        <w:rPr>
          <w:color w:val="231F20"/>
          <w:spacing w:val="17"/>
        </w:rPr>
        <w:t> </w:t>
      </w:r>
      <w:r>
        <w:rPr>
          <w:color w:val="231F20"/>
        </w:rPr>
        <w:t>agree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earth</w:t>
      </w:r>
      <w:r>
        <w:rPr>
          <w:color w:val="231F20"/>
          <w:spacing w:val="-58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getting</w:t>
      </w:r>
      <w:r>
        <w:rPr>
          <w:color w:val="231F20"/>
          <w:spacing w:val="7"/>
        </w:rPr>
        <w:t> </w:t>
      </w:r>
      <w:r>
        <w:rPr>
          <w:color w:val="231F20"/>
        </w:rPr>
        <w:t>warmer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most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warming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result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human</w:t>
      </w:r>
      <w:r>
        <w:rPr>
          <w:color w:val="231F20"/>
          <w:spacing w:val="6"/>
        </w:rPr>
        <w:t> </w:t>
      </w:r>
      <w:r>
        <w:rPr>
          <w:color w:val="231F20"/>
        </w:rPr>
        <w:t>activities.</w:t>
      </w:r>
    </w:p>
    <w:p>
      <w:pPr>
        <w:pStyle w:val="BodyText"/>
        <w:spacing w:line="278" w:lineRule="auto" w:before="170"/>
        <w:ind w:left="153" w:right="150"/>
      </w:pPr>
      <w:r>
        <w:rPr>
          <w:color w:val="231F20"/>
        </w:rPr>
        <w:t>DEFRA’s website doesn’t say how the research was funded or what influence has been brought to</w:t>
      </w:r>
      <w:r>
        <w:rPr>
          <w:color w:val="231F20"/>
          <w:spacing w:val="1"/>
        </w:rPr>
        <w:t> </w:t>
      </w:r>
      <w:r>
        <w:rPr>
          <w:color w:val="231F20"/>
        </w:rPr>
        <w:t>bear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give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independent</w:t>
      </w:r>
      <w:r>
        <w:rPr>
          <w:color w:val="231F20"/>
          <w:spacing w:val="5"/>
        </w:rPr>
        <w:t> </w:t>
      </w:r>
      <w:r>
        <w:rPr>
          <w:color w:val="231F20"/>
        </w:rPr>
        <w:t>proof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actually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case.</w:t>
      </w:r>
    </w:p>
    <w:p>
      <w:pPr>
        <w:pStyle w:val="BodyText"/>
        <w:spacing w:line="278" w:lineRule="auto" w:before="169"/>
        <w:ind w:left="153" w:right="149"/>
      </w:pPr>
      <w:r>
        <w:rPr>
          <w:color w:val="231F20"/>
        </w:rPr>
        <w:t>Following your failure to respond appropriately to the Notice Of Conditional Acceptance dated</w:t>
      </w:r>
      <w:r>
        <w:rPr>
          <w:color w:val="231F20"/>
          <w:spacing w:val="1"/>
        </w:rPr>
        <w:t> </w:t>
      </w:r>
      <w:r>
        <w:rPr>
          <w:color w:val="CD2027"/>
        </w:rPr>
        <w:t>[ADD</w:t>
      </w:r>
      <w:r>
        <w:rPr>
          <w:color w:val="CD2027"/>
          <w:spacing w:val="20"/>
        </w:rPr>
        <w:t> </w:t>
      </w:r>
      <w:r>
        <w:rPr>
          <w:color w:val="CD2027"/>
        </w:rPr>
        <w:t>DATE]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</w:rPr>
        <w:t>hereby</w:t>
      </w:r>
      <w:r>
        <w:rPr>
          <w:color w:val="231F20"/>
          <w:spacing w:val="20"/>
        </w:rPr>
        <w:t> </w:t>
      </w:r>
      <w:r>
        <w:rPr>
          <w:color w:val="231F20"/>
        </w:rPr>
        <w:t>serve</w:t>
      </w:r>
      <w:r>
        <w:rPr>
          <w:color w:val="231F20"/>
          <w:spacing w:val="21"/>
        </w:rPr>
        <w:t> </w:t>
      </w:r>
      <w:r>
        <w:rPr>
          <w:color w:val="231F20"/>
        </w:rPr>
        <w:t>Notice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Opportunity</w:t>
      </w:r>
      <w:r>
        <w:rPr>
          <w:color w:val="231F20"/>
          <w:spacing w:val="17"/>
        </w:rPr>
        <w:t> </w:t>
      </w:r>
      <w:r>
        <w:rPr>
          <w:color w:val="231F20"/>
        </w:rPr>
        <w:t>To</w:t>
      </w:r>
      <w:r>
        <w:rPr>
          <w:color w:val="231F20"/>
          <w:spacing w:val="20"/>
        </w:rPr>
        <w:t> </w:t>
      </w:r>
      <w:r>
        <w:rPr>
          <w:color w:val="231F20"/>
        </w:rPr>
        <w:t>Cure.</w:t>
      </w:r>
      <w:r>
        <w:rPr>
          <w:color w:val="231F20"/>
          <w:spacing w:val="17"/>
        </w:rPr>
        <w:t> </w:t>
      </w:r>
      <w:r>
        <w:rPr>
          <w:color w:val="231F20"/>
        </w:rPr>
        <w:t>Therefore,</w:t>
      </w:r>
      <w:r>
        <w:rPr>
          <w:color w:val="231F20"/>
          <w:spacing w:val="20"/>
        </w:rPr>
        <w:t> </w:t>
      </w:r>
      <w:r>
        <w:rPr>
          <w:color w:val="231F20"/>
        </w:rPr>
        <w:t>please</w:t>
      </w:r>
      <w:r>
        <w:rPr>
          <w:color w:val="231F20"/>
          <w:spacing w:val="21"/>
        </w:rPr>
        <w:t> </w:t>
      </w:r>
      <w:r>
        <w:rPr>
          <w:color w:val="231F20"/>
        </w:rPr>
        <w:t>provide</w:t>
      </w:r>
      <w:r>
        <w:rPr>
          <w:color w:val="231F20"/>
          <w:spacing w:val="21"/>
        </w:rPr>
        <w:t> </w:t>
      </w:r>
      <w:r>
        <w:rPr>
          <w:color w:val="231F20"/>
        </w:rPr>
        <w:t>me</w:t>
      </w:r>
      <w:r>
        <w:rPr>
          <w:color w:val="231F20"/>
          <w:spacing w:val="20"/>
        </w:rPr>
        <w:t> </w:t>
      </w:r>
      <w:r>
        <w:rPr>
          <w:color w:val="231F20"/>
        </w:rPr>
        <w:t>with</w:t>
      </w:r>
      <w:r>
        <w:rPr>
          <w:color w:val="231F20"/>
          <w:spacing w:val="-57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following</w:t>
      </w:r>
      <w:r>
        <w:rPr>
          <w:color w:val="231F20"/>
          <w:spacing w:val="5"/>
        </w:rPr>
        <w:t> </w:t>
      </w:r>
      <w:r>
        <w:rPr>
          <w:color w:val="231F20"/>
        </w:rPr>
        <w:t>items</w:t>
      </w:r>
      <w:r>
        <w:rPr>
          <w:color w:val="231F20"/>
          <w:spacing w:val="4"/>
        </w:rPr>
        <w:t> </w:t>
      </w:r>
      <w:r>
        <w:rPr>
          <w:color w:val="231F20"/>
        </w:rPr>
        <w:t>without</w:t>
      </w:r>
      <w:r>
        <w:rPr>
          <w:color w:val="231F20"/>
          <w:spacing w:val="5"/>
        </w:rPr>
        <w:t> </w:t>
      </w:r>
      <w:r>
        <w:rPr>
          <w:color w:val="231F20"/>
        </w:rPr>
        <w:t>delay: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purified 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isolated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particles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assumed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‘viruses/prions’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taken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directly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fluids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sick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human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animal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culturing,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confirmed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via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Electron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microscopy.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purified and isolated particles were proven to be pathogenic naturally, via adherence to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long-established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method.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that shows the use of purified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mycobacterium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bovis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causation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disease,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Tuberculosis,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cattle.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2"/>
        </w:rPr>
      </w:pPr>
    </w:p>
    <w:p>
      <w:pPr>
        <w:spacing w:before="94"/>
        <w:ind w:left="3351" w:right="2493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60" w:bottom="0" w:left="980" w:right="980"/>
        </w:sect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78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preceding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thorough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investigation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using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into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disease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sickness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livestock,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ruled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out,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including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vaccine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inappropriate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contaminated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toxic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chemicals.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government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policies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enforced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fraudulent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nature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reality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not comprise a real and present threat to British farming, by seeking to eradicate the entire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industry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2030.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independent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(i.e.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funded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vested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corporate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interests)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primary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publication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relied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upon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the IPCC that evidences the use of the scientific method to prove beyond all reasonable doubt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CO2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responsible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temperature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rises.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5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effects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we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witnessing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attributed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crisis’ are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largely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attributable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land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practices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historically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condoned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encouraged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DEFRA,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but not limited to: deforestation; deep ploughing, mono-cropping and other soil-destroying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practices that lead to biodiversity loss; mass chemical poisoning of the Earth with glyphosate,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pesticides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chemicals;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building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flood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plains.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which shows that geoengineering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programmes conducted and recorded internationally by the OAA (Oceanic and 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Research);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NOAA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(National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Oceanic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Administration),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locally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councils, in line with the Paris Climate Agreement and the UN SDG’s, are not giving the false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impression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crisis’.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above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questions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cannot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answered,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DEFRA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multiple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breaches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Fraud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278" w:lineRule="auto" w:before="170"/>
        <w:ind w:left="153" w:right="146"/>
      </w:pPr>
      <w:r>
        <w:rPr>
          <w:color w:val="231F20"/>
        </w:rPr>
        <w:t>Given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serious</w:t>
      </w:r>
      <w:r>
        <w:rPr>
          <w:color w:val="231F20"/>
          <w:spacing w:val="1"/>
        </w:rPr>
        <w:t> </w:t>
      </w:r>
      <w:r>
        <w:rPr>
          <w:color w:val="231F20"/>
        </w:rPr>
        <w:t>adverse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DEFRA’s</w:t>
      </w:r>
      <w:r>
        <w:rPr>
          <w:color w:val="231F20"/>
          <w:spacing w:val="1"/>
        </w:rPr>
        <w:t> </w:t>
      </w:r>
      <w:r>
        <w:rPr>
          <w:color w:val="231F20"/>
        </w:rPr>
        <w:t>policies</w:t>
      </w:r>
      <w:r>
        <w:rPr>
          <w:color w:val="231F20"/>
          <w:spacing w:val="1"/>
        </w:rPr>
        <w:t> </w:t>
      </w:r>
      <w:r>
        <w:rPr>
          <w:color w:val="231F20"/>
        </w:rPr>
        <w:t>upon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environment,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60"/>
        </w:rPr>
        <w:t> </w:t>
      </w:r>
      <w:r>
        <w:rPr>
          <w:color w:val="231F20"/>
        </w:rPr>
        <w:t>supply,</w:t>
      </w:r>
      <w:r>
        <w:rPr>
          <w:color w:val="231F20"/>
          <w:spacing w:val="1"/>
        </w:rPr>
        <w:t> </w:t>
      </w:r>
      <w:r>
        <w:rPr>
          <w:color w:val="231F20"/>
        </w:rPr>
        <w:t>nutrition, businesses and people’s livelihoods, you have 7 days to respond appropriately to this</w:t>
      </w:r>
      <w:r>
        <w:rPr>
          <w:color w:val="231F20"/>
          <w:spacing w:val="1"/>
        </w:rPr>
        <w:t> </w:t>
      </w:r>
      <w:r>
        <w:rPr>
          <w:color w:val="231F20"/>
        </w:rPr>
        <w:t>Notice.</w:t>
      </w:r>
    </w:p>
    <w:p>
      <w:pPr>
        <w:pStyle w:val="BodyText"/>
        <w:spacing w:line="278" w:lineRule="auto" w:before="170"/>
        <w:ind w:left="153" w:right="144"/>
      </w:pPr>
      <w:r>
        <w:rPr>
          <w:color w:val="231F20"/>
        </w:rPr>
        <w:t>In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event</w:t>
      </w:r>
      <w:r>
        <w:rPr>
          <w:color w:val="231F20"/>
          <w:spacing w:val="29"/>
        </w:rPr>
        <w:t> </w:t>
      </w:r>
      <w:r>
        <w:rPr>
          <w:color w:val="231F20"/>
        </w:rPr>
        <w:t>you</w:t>
      </w:r>
      <w:r>
        <w:rPr>
          <w:color w:val="231F20"/>
          <w:spacing w:val="30"/>
        </w:rPr>
        <w:t> </w:t>
      </w:r>
      <w:r>
        <w:rPr>
          <w:color w:val="231F20"/>
        </w:rPr>
        <w:t>fail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provide</w:t>
      </w:r>
      <w:r>
        <w:rPr>
          <w:color w:val="231F20"/>
          <w:spacing w:val="30"/>
        </w:rPr>
        <w:t> </w:t>
      </w:r>
      <w:r>
        <w:rPr>
          <w:color w:val="231F20"/>
        </w:rPr>
        <w:t>these</w:t>
      </w:r>
      <w:r>
        <w:rPr>
          <w:color w:val="231F20"/>
          <w:spacing w:val="29"/>
        </w:rPr>
        <w:t> </w:t>
      </w:r>
      <w:r>
        <w:rPr>
          <w:color w:val="231F20"/>
        </w:rPr>
        <w:t>reasonably</w:t>
      </w:r>
      <w:r>
        <w:rPr>
          <w:color w:val="231F20"/>
          <w:spacing w:val="30"/>
        </w:rPr>
        <w:t> </w:t>
      </w:r>
      <w:r>
        <w:rPr>
          <w:color w:val="231F20"/>
        </w:rPr>
        <w:t>requested</w:t>
      </w:r>
      <w:r>
        <w:rPr>
          <w:color w:val="231F20"/>
          <w:spacing w:val="30"/>
        </w:rPr>
        <w:t> </w:t>
      </w:r>
      <w:r>
        <w:rPr>
          <w:color w:val="231F20"/>
        </w:rPr>
        <w:t>items,</w:t>
      </w:r>
      <w:r>
        <w:rPr>
          <w:color w:val="231F20"/>
          <w:spacing w:val="29"/>
        </w:rPr>
        <w:t> </w:t>
      </w:r>
      <w:r>
        <w:rPr>
          <w:color w:val="231F20"/>
        </w:rPr>
        <w:t>your</w:t>
      </w:r>
      <w:r>
        <w:rPr>
          <w:color w:val="231F20"/>
          <w:spacing w:val="30"/>
        </w:rPr>
        <w:t> </w:t>
      </w:r>
      <w:r>
        <w:rPr>
          <w:color w:val="231F20"/>
        </w:rPr>
        <w:t>failure</w:t>
      </w:r>
      <w:r>
        <w:rPr>
          <w:color w:val="231F20"/>
          <w:spacing w:val="29"/>
        </w:rPr>
        <w:t> </w:t>
      </w:r>
      <w:r>
        <w:rPr>
          <w:color w:val="231F20"/>
        </w:rPr>
        <w:t>will</w:t>
      </w:r>
      <w:r>
        <w:rPr>
          <w:color w:val="231F20"/>
          <w:spacing w:val="30"/>
        </w:rPr>
        <w:t> </w:t>
      </w:r>
      <w:r>
        <w:rPr>
          <w:color w:val="231F20"/>
        </w:rPr>
        <w:t>comprise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-58"/>
        </w:rPr>
        <w:t> </w:t>
      </w:r>
      <w:r>
        <w:rPr>
          <w:color w:val="231F20"/>
        </w:rPr>
        <w:t>tacit</w:t>
      </w:r>
      <w:r>
        <w:rPr>
          <w:color w:val="231F20"/>
          <w:spacing w:val="36"/>
        </w:rPr>
        <w:t> </w:t>
      </w:r>
      <w:r>
        <w:rPr>
          <w:color w:val="231F20"/>
        </w:rPr>
        <w:t>procuration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your</w:t>
      </w:r>
      <w:r>
        <w:rPr>
          <w:color w:val="231F20"/>
          <w:spacing w:val="36"/>
        </w:rPr>
        <w:t> </w:t>
      </w:r>
      <w:r>
        <w:rPr>
          <w:color w:val="231F20"/>
        </w:rPr>
        <w:t>agreement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lawful</w:t>
      </w:r>
      <w:r>
        <w:rPr>
          <w:color w:val="231F20"/>
          <w:spacing w:val="36"/>
        </w:rPr>
        <w:t> </w:t>
      </w:r>
      <w:r>
        <w:rPr>
          <w:color w:val="231F20"/>
        </w:rPr>
        <w:t>presumption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requested</w:t>
      </w:r>
      <w:r>
        <w:rPr>
          <w:color w:val="231F20"/>
          <w:spacing w:val="36"/>
        </w:rPr>
        <w:t> </w:t>
      </w:r>
      <w:r>
        <w:rPr>
          <w:color w:val="231F20"/>
        </w:rPr>
        <w:t>items</w:t>
      </w:r>
      <w:r>
        <w:rPr>
          <w:color w:val="231F20"/>
          <w:spacing w:val="36"/>
        </w:rPr>
        <w:t> </w:t>
      </w:r>
      <w:r>
        <w:rPr>
          <w:color w:val="231F20"/>
        </w:rPr>
        <w:t>do</w:t>
      </w:r>
      <w:r>
        <w:rPr>
          <w:color w:val="231F20"/>
          <w:spacing w:val="36"/>
        </w:rPr>
        <w:t> </w:t>
      </w:r>
      <w:r>
        <w:rPr>
          <w:color w:val="231F20"/>
        </w:rPr>
        <w:t>not</w:t>
      </w:r>
      <w:r>
        <w:rPr>
          <w:color w:val="231F20"/>
          <w:spacing w:val="-58"/>
        </w:rPr>
        <w:t> </w:t>
      </w:r>
      <w:r>
        <w:rPr>
          <w:color w:val="231F20"/>
        </w:rPr>
        <w:t>exist,</w:t>
      </w:r>
      <w:r>
        <w:rPr>
          <w:color w:val="231F20"/>
          <w:spacing w:val="43"/>
        </w:rPr>
        <w:t> </w:t>
      </w:r>
      <w:r>
        <w:rPr>
          <w:color w:val="231F20"/>
        </w:rPr>
        <w:t>and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basis</w:t>
      </w:r>
      <w:r>
        <w:rPr>
          <w:color w:val="231F20"/>
          <w:spacing w:val="44"/>
        </w:rPr>
        <w:t> </w:t>
      </w:r>
      <w:r>
        <w:rPr>
          <w:color w:val="231F20"/>
        </w:rPr>
        <w:t>for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alleged</w:t>
      </w:r>
      <w:r>
        <w:rPr>
          <w:color w:val="231F20"/>
          <w:spacing w:val="44"/>
        </w:rPr>
        <w:t> </w:t>
      </w:r>
      <w:r>
        <w:rPr>
          <w:color w:val="231F20"/>
        </w:rPr>
        <w:t>lawfulness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your</w:t>
      </w:r>
      <w:r>
        <w:rPr>
          <w:color w:val="231F20"/>
          <w:spacing w:val="43"/>
        </w:rPr>
        <w:t> </w:t>
      </w:r>
      <w:r>
        <w:rPr>
          <w:color w:val="231F20"/>
        </w:rPr>
        <w:t>policies</w:t>
      </w:r>
      <w:r>
        <w:rPr>
          <w:color w:val="231F20"/>
          <w:spacing w:val="44"/>
        </w:rPr>
        <w:t> </w:t>
      </w:r>
      <w:r>
        <w:rPr>
          <w:color w:val="231F20"/>
        </w:rPr>
        <w:t>is</w:t>
      </w:r>
      <w:r>
        <w:rPr>
          <w:color w:val="231F20"/>
          <w:spacing w:val="44"/>
        </w:rPr>
        <w:t> </w:t>
      </w:r>
      <w:r>
        <w:rPr>
          <w:color w:val="231F20"/>
        </w:rPr>
        <w:t>entirely</w:t>
      </w:r>
      <w:r>
        <w:rPr>
          <w:color w:val="231F20"/>
          <w:spacing w:val="43"/>
        </w:rPr>
        <w:t> </w:t>
      </w:r>
      <w:r>
        <w:rPr>
          <w:color w:val="231F20"/>
        </w:rPr>
        <w:t>predicated</w:t>
      </w:r>
      <w:r>
        <w:rPr>
          <w:color w:val="231F20"/>
          <w:spacing w:val="44"/>
        </w:rPr>
        <w:t> </w:t>
      </w:r>
      <w:r>
        <w:rPr>
          <w:color w:val="231F20"/>
        </w:rPr>
        <w:t>upon</w:t>
      </w:r>
      <w:r>
        <w:rPr>
          <w:color w:val="231F20"/>
          <w:spacing w:val="-58"/>
        </w:rPr>
        <w:t> </w:t>
      </w:r>
      <w:r>
        <w:rPr>
          <w:color w:val="231F20"/>
        </w:rPr>
        <w:t>plainly false and dishonest statements. Therefore all respondents are responsible and personally</w:t>
      </w:r>
      <w:r>
        <w:rPr>
          <w:color w:val="231F20"/>
          <w:spacing w:val="1"/>
        </w:rPr>
        <w:t> </w:t>
      </w:r>
      <w:r>
        <w:rPr>
          <w:color w:val="231F20"/>
        </w:rPr>
        <w:t>liable</w:t>
      </w:r>
      <w:r>
        <w:rPr>
          <w:color w:val="231F20"/>
          <w:spacing w:val="32"/>
        </w:rPr>
        <w:t> </w:t>
      </w:r>
      <w:r>
        <w:rPr>
          <w:color w:val="231F20"/>
        </w:rPr>
        <w:t>for</w:t>
      </w:r>
      <w:r>
        <w:rPr>
          <w:color w:val="231F20"/>
          <w:spacing w:val="33"/>
        </w:rPr>
        <w:t> </w:t>
      </w:r>
      <w:r>
        <w:rPr>
          <w:color w:val="231F20"/>
        </w:rPr>
        <w:t>multiple</w:t>
      </w:r>
      <w:r>
        <w:rPr>
          <w:color w:val="231F20"/>
          <w:spacing w:val="33"/>
        </w:rPr>
        <w:t> </w:t>
      </w:r>
      <w:r>
        <w:rPr>
          <w:color w:val="231F20"/>
        </w:rPr>
        <w:t>breaches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Fraud</w:t>
      </w:r>
      <w:r>
        <w:rPr>
          <w:color w:val="231F20"/>
          <w:spacing w:val="19"/>
        </w:rPr>
        <w:t> </w:t>
      </w:r>
      <w:r>
        <w:rPr>
          <w:color w:val="231F20"/>
        </w:rPr>
        <w:t>Act</w:t>
      </w:r>
      <w:r>
        <w:rPr>
          <w:color w:val="231F20"/>
          <w:spacing w:val="33"/>
        </w:rPr>
        <w:t> </w:t>
      </w:r>
      <w:r>
        <w:rPr>
          <w:color w:val="231F20"/>
        </w:rPr>
        <w:t>2006</w:t>
      </w:r>
      <w:r>
        <w:rPr>
          <w:color w:val="231F20"/>
          <w:spacing w:val="33"/>
        </w:rPr>
        <w:t> </w:t>
      </w:r>
      <w:r>
        <w:rPr>
          <w:color w:val="231F20"/>
        </w:rPr>
        <w:t>without</w:t>
      </w:r>
      <w:r>
        <w:rPr>
          <w:color w:val="231F20"/>
          <w:spacing w:val="32"/>
        </w:rPr>
        <w:t> </w:t>
      </w:r>
      <w:r>
        <w:rPr>
          <w:color w:val="231F20"/>
        </w:rPr>
        <w:t>prejudice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any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all</w:t>
      </w:r>
      <w:r>
        <w:rPr>
          <w:color w:val="231F20"/>
          <w:spacing w:val="32"/>
        </w:rPr>
        <w:t> </w:t>
      </w:r>
      <w:r>
        <w:rPr>
          <w:color w:val="231F20"/>
        </w:rPr>
        <w:t>civil</w:t>
      </w:r>
      <w:r>
        <w:rPr>
          <w:color w:val="231F20"/>
          <w:spacing w:val="33"/>
        </w:rPr>
        <w:t> </w:t>
      </w:r>
      <w:r>
        <w:rPr>
          <w:color w:val="231F20"/>
        </w:rPr>
        <w:t>claims</w:t>
      </w:r>
      <w:r>
        <w:rPr>
          <w:color w:val="231F20"/>
          <w:spacing w:val="-57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damages.</w:t>
      </w:r>
    </w:p>
    <w:p>
      <w:pPr>
        <w:pStyle w:val="BodyText"/>
        <w:spacing w:before="5"/>
        <w:jc w:val="left"/>
        <w:rPr>
          <w:sz w:val="9"/>
        </w:rPr>
      </w:pPr>
    </w:p>
    <w:p>
      <w:pPr>
        <w:pStyle w:val="BodyText"/>
        <w:spacing w:before="90"/>
        <w:ind w:right="15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jc w:val="left"/>
        <w:rPr>
          <w:sz w:val="26"/>
        </w:rPr>
      </w:pPr>
    </w:p>
    <w:p>
      <w:pPr>
        <w:spacing w:before="162"/>
        <w:ind w:left="0" w:right="149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44"/>
        <w:ind w:right="150"/>
        <w:jc w:val="right"/>
      </w:pPr>
      <w:r>
        <w:rPr>
          <w:color w:val="CD2027"/>
        </w:rPr>
        <w:t>Sign</w:t>
      </w:r>
      <w:r>
        <w:rPr>
          <w:color w:val="CD2027"/>
          <w:spacing w:val="10"/>
        </w:rPr>
        <w:t> </w:t>
      </w:r>
      <w:r>
        <w:rPr>
          <w:color w:val="CD2027"/>
        </w:rPr>
        <w:t>above</w:t>
      </w:r>
      <w:r>
        <w:rPr>
          <w:color w:val="CD2027"/>
          <w:spacing w:val="11"/>
        </w:rPr>
        <w:t> </w:t>
      </w:r>
      <w:r>
        <w:rPr>
          <w:color w:val="CD2027"/>
        </w:rPr>
        <w:t>&amp;</w:t>
      </w:r>
      <w:r>
        <w:rPr>
          <w:color w:val="CD2027"/>
          <w:spacing w:val="10"/>
        </w:rPr>
        <w:t> </w:t>
      </w:r>
      <w:r>
        <w:rPr>
          <w:color w:val="CD2027"/>
        </w:rPr>
        <w:t>type</w:t>
      </w:r>
      <w:r>
        <w:rPr>
          <w:color w:val="CD2027"/>
          <w:spacing w:val="11"/>
        </w:rPr>
        <w:t> </w:t>
      </w:r>
      <w:r>
        <w:rPr>
          <w:color w:val="CD2027"/>
        </w:rPr>
        <w:t>your</w:t>
      </w:r>
      <w:r>
        <w:rPr>
          <w:color w:val="CD2027"/>
          <w:spacing w:val="11"/>
        </w:rPr>
        <w:t> </w:t>
      </w:r>
      <w:r>
        <w:rPr>
          <w:color w:val="CD2027"/>
        </w:rPr>
        <w:t>name</w:t>
      </w:r>
      <w:r>
        <w:rPr>
          <w:color w:val="CD2027"/>
          <w:spacing w:val="10"/>
        </w:rPr>
        <w:t> </w:t>
      </w:r>
      <w:r>
        <w:rPr>
          <w:color w:val="CD2027"/>
        </w:rPr>
        <w:t>here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5"/>
        </w:rPr>
      </w:pPr>
    </w:p>
    <w:p>
      <w:pPr>
        <w:spacing w:before="94"/>
        <w:ind w:left="2495" w:right="3351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sectPr>
      <w:pgSz w:w="11910" w:h="16840"/>
      <w:pgMar w:top="980" w:bottom="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351" w:right="335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513" w:right="14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2024-05-24T11:54:20Z</dcterms:created>
  <dcterms:modified xsi:type="dcterms:W3CDTF">2024-05-24T11:54:20Z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2024-05-24T00:00:00Z</vt:filetime>
  </property>
</Properties>
</file>