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8C0F" w14:textId="37DCF4EF" w:rsidR="00DA4683" w:rsidRPr="00215A7B" w:rsidRDefault="00DA4683" w:rsidP="00DA4683">
      <w:pPr>
        <w:widowControl/>
        <w:autoSpaceDE/>
        <w:autoSpaceDN/>
        <w:spacing w:before="100" w:beforeAutospacing="1" w:after="100" w:afterAutospacing="1"/>
        <w:jc w:val="center"/>
        <w:outlineLvl w:val="0"/>
        <w:rPr>
          <w:b/>
          <w:bCs/>
          <w:kern w:val="36"/>
          <w:sz w:val="40"/>
          <w:szCs w:val="40"/>
          <w:lang w:val="en-GB" w:eastAsia="en-GB"/>
        </w:rPr>
      </w:pPr>
      <w:r w:rsidRPr="00215A7B">
        <w:rPr>
          <w:b/>
          <w:bCs/>
          <w:kern w:val="36"/>
          <w:sz w:val="40"/>
          <w:szCs w:val="40"/>
          <w:lang w:val="en-GB" w:eastAsia="en-GB"/>
        </w:rPr>
        <w:t>Notice of Terms and Conditions</w:t>
      </w:r>
      <w:r w:rsidRPr="00215A7B">
        <w:rPr>
          <w:b/>
          <w:bCs/>
          <w:kern w:val="36"/>
          <w:sz w:val="40"/>
          <w:szCs w:val="40"/>
          <w:lang w:val="en-GB" w:eastAsia="en-GB"/>
        </w:rPr>
        <w:br/>
        <w:t>and Schedule of Fees</w:t>
      </w:r>
    </w:p>
    <w:p w14:paraId="017FF8F5" w14:textId="77777777" w:rsidR="00DA4683" w:rsidRDefault="00DA4683" w:rsidP="00DA4683">
      <w:pPr>
        <w:widowControl/>
        <w:autoSpaceDE/>
        <w:autoSpaceDN/>
        <w:spacing w:before="100" w:beforeAutospacing="1" w:after="100" w:afterAutospacing="1"/>
        <w:rPr>
          <w:sz w:val="24"/>
          <w:szCs w:val="24"/>
          <w:lang w:val="en-GB" w:eastAsia="en-GB"/>
        </w:rPr>
      </w:pPr>
      <w:r w:rsidRPr="00DA4683">
        <w:rPr>
          <w:b/>
          <w:bCs/>
          <w:sz w:val="24"/>
          <w:szCs w:val="24"/>
          <w:lang w:val="en-GB" w:eastAsia="en-GB"/>
        </w:rPr>
        <w:t>For and on behalf of:</w:t>
      </w:r>
      <w:r w:rsidRPr="00DA4683">
        <w:rPr>
          <w:sz w:val="24"/>
          <w:szCs w:val="24"/>
          <w:lang w:val="en-GB" w:eastAsia="en-GB"/>
        </w:rPr>
        <w:br/>
      </w:r>
    </w:p>
    <w:p w14:paraId="4AE1D871" w14:textId="73C0E6AD" w:rsidR="00DA4683" w:rsidRPr="00DA4683" w:rsidRDefault="00DA4683" w:rsidP="00DA4683">
      <w:pPr>
        <w:widowControl/>
        <w:autoSpaceDE/>
        <w:autoSpaceDN/>
        <w:spacing w:before="100" w:beforeAutospacing="1" w:after="100" w:afterAutospacing="1"/>
        <w:rPr>
          <w:sz w:val="24"/>
          <w:szCs w:val="24"/>
          <w:lang w:val="en-GB" w:eastAsia="en-GB"/>
        </w:rPr>
      </w:pPr>
      <w:r w:rsidRPr="00DA4683">
        <w:rPr>
          <w:sz w:val="24"/>
          <w:szCs w:val="24"/>
          <w:lang w:val="en-GB" w:eastAsia="en-GB"/>
        </w:rPr>
        <w:t>................</w:t>
      </w:r>
      <w:r>
        <w:rPr>
          <w:sz w:val="24"/>
          <w:szCs w:val="24"/>
          <w:lang w:val="en-GB" w:eastAsia="en-GB"/>
        </w:rPr>
        <w:t>........</w:t>
      </w:r>
      <w:r w:rsidRPr="00DA4683">
        <w:rPr>
          <w:sz w:val="24"/>
          <w:szCs w:val="24"/>
          <w:lang w:val="en-GB" w:eastAsia="en-GB"/>
        </w:rPr>
        <w:t>...............................................................</w:t>
      </w:r>
    </w:p>
    <w:p w14:paraId="7FAE6DE2" w14:textId="0F0743F5" w:rsidR="00DA4683" w:rsidRDefault="00DA4683" w:rsidP="00DA4683">
      <w:pPr>
        <w:widowControl/>
        <w:autoSpaceDE/>
        <w:autoSpaceDN/>
        <w:spacing w:before="100" w:beforeAutospacing="1" w:after="100" w:afterAutospacing="1"/>
        <w:rPr>
          <w:sz w:val="24"/>
          <w:szCs w:val="24"/>
          <w:lang w:val="en-GB" w:eastAsia="en-GB"/>
        </w:rPr>
      </w:pPr>
      <w:r w:rsidRPr="00DA4683">
        <w:rPr>
          <w:b/>
          <w:bCs/>
          <w:sz w:val="24"/>
          <w:szCs w:val="24"/>
          <w:lang w:val="en-GB" w:eastAsia="en-GB"/>
        </w:rPr>
        <w:t>Common Law Court Numbers:</w:t>
      </w:r>
    </w:p>
    <w:p w14:paraId="55393B58" w14:textId="3AC8DC68" w:rsidR="00DA4683" w:rsidRPr="00DA4683" w:rsidRDefault="00DA4683" w:rsidP="00DA4683">
      <w:pPr>
        <w:widowControl/>
        <w:autoSpaceDE/>
        <w:autoSpaceDN/>
        <w:spacing w:before="100" w:beforeAutospacing="1" w:after="100" w:afterAutospacing="1"/>
        <w:rPr>
          <w:sz w:val="24"/>
          <w:szCs w:val="24"/>
          <w:lang w:val="en-GB" w:eastAsia="en-GB"/>
        </w:rPr>
      </w:pPr>
      <w:r w:rsidRPr="00DA4683">
        <w:rPr>
          <w:sz w:val="24"/>
          <w:szCs w:val="24"/>
          <w:lang w:val="en-GB" w:eastAsia="en-GB"/>
        </w:rPr>
        <w:t>BC</w:t>
      </w:r>
      <w:r>
        <w:rPr>
          <w:sz w:val="24"/>
          <w:szCs w:val="24"/>
          <w:lang w:val="en-GB" w:eastAsia="en-GB"/>
        </w:rPr>
        <w:t xml:space="preserve"> </w:t>
      </w:r>
      <w:r w:rsidRPr="00DA4683">
        <w:rPr>
          <w:sz w:val="24"/>
          <w:szCs w:val="24"/>
          <w:lang w:val="en-GB" w:eastAsia="en-GB"/>
        </w:rPr>
        <w:t>/...</w:t>
      </w:r>
      <w:r>
        <w:rPr>
          <w:sz w:val="24"/>
          <w:szCs w:val="24"/>
          <w:lang w:val="en-GB" w:eastAsia="en-GB"/>
        </w:rPr>
        <w:t>..</w:t>
      </w:r>
      <w:r w:rsidRPr="00DA4683">
        <w:rPr>
          <w:sz w:val="24"/>
          <w:szCs w:val="24"/>
          <w:lang w:val="en-GB" w:eastAsia="en-GB"/>
        </w:rPr>
        <w:t>....</w:t>
      </w:r>
      <w:r>
        <w:rPr>
          <w:sz w:val="24"/>
          <w:szCs w:val="24"/>
          <w:lang w:val="en-GB" w:eastAsia="en-GB"/>
        </w:rPr>
        <w:t xml:space="preserve"> </w:t>
      </w:r>
      <w:r w:rsidRPr="00DA4683">
        <w:rPr>
          <w:sz w:val="24"/>
          <w:szCs w:val="24"/>
          <w:lang w:val="en-GB" w:eastAsia="en-GB"/>
        </w:rPr>
        <w:t>/....</w:t>
      </w:r>
      <w:r>
        <w:rPr>
          <w:sz w:val="24"/>
          <w:szCs w:val="24"/>
          <w:lang w:val="en-GB" w:eastAsia="en-GB"/>
        </w:rPr>
        <w:t>....</w:t>
      </w:r>
      <w:r w:rsidRPr="00DA4683">
        <w:rPr>
          <w:sz w:val="24"/>
          <w:szCs w:val="24"/>
          <w:lang w:val="en-GB" w:eastAsia="en-GB"/>
        </w:rPr>
        <w:t xml:space="preserve">.............. </w:t>
      </w:r>
      <w:r w:rsidR="005757B4">
        <w:rPr>
          <w:sz w:val="24"/>
          <w:szCs w:val="24"/>
          <w:lang w:val="en-GB" w:eastAsia="en-GB"/>
        </w:rPr>
        <w:t xml:space="preserve"> </w:t>
      </w:r>
      <w:proofErr w:type="gramStart"/>
      <w:r w:rsidRPr="00DA4683">
        <w:rPr>
          <w:sz w:val="24"/>
          <w:szCs w:val="24"/>
          <w:lang w:val="en-GB" w:eastAsia="en-GB"/>
        </w:rPr>
        <w:t>&amp;</w:t>
      </w:r>
      <w:r w:rsidR="005757B4">
        <w:rPr>
          <w:sz w:val="24"/>
          <w:szCs w:val="24"/>
          <w:lang w:val="en-GB" w:eastAsia="en-GB"/>
        </w:rPr>
        <w:t xml:space="preserve"> </w:t>
      </w:r>
      <w:r w:rsidRPr="00DA4683">
        <w:rPr>
          <w:sz w:val="24"/>
          <w:szCs w:val="24"/>
          <w:lang w:val="en-GB" w:eastAsia="en-GB"/>
        </w:rPr>
        <w:t xml:space="preserve"> FN</w:t>
      </w:r>
      <w:proofErr w:type="gramEnd"/>
      <w:r>
        <w:rPr>
          <w:sz w:val="24"/>
          <w:szCs w:val="24"/>
          <w:lang w:val="en-GB" w:eastAsia="en-GB"/>
        </w:rPr>
        <w:t xml:space="preserve"> </w:t>
      </w:r>
      <w:r w:rsidRPr="00DA4683">
        <w:rPr>
          <w:sz w:val="24"/>
          <w:szCs w:val="24"/>
          <w:lang w:val="en-GB" w:eastAsia="en-GB"/>
        </w:rPr>
        <w:t>/</w:t>
      </w:r>
      <w:r>
        <w:rPr>
          <w:sz w:val="24"/>
          <w:szCs w:val="24"/>
          <w:lang w:val="en-GB" w:eastAsia="en-GB"/>
        </w:rPr>
        <w:t>….</w:t>
      </w:r>
      <w:r w:rsidRPr="00DA4683">
        <w:rPr>
          <w:sz w:val="24"/>
          <w:szCs w:val="24"/>
          <w:lang w:val="en-GB" w:eastAsia="en-GB"/>
        </w:rPr>
        <w:t>......</w:t>
      </w:r>
      <w:r>
        <w:rPr>
          <w:sz w:val="24"/>
          <w:szCs w:val="24"/>
          <w:lang w:val="en-GB" w:eastAsia="en-GB"/>
        </w:rPr>
        <w:t xml:space="preserve"> </w:t>
      </w:r>
      <w:r w:rsidRPr="00DA4683">
        <w:rPr>
          <w:sz w:val="24"/>
          <w:szCs w:val="24"/>
          <w:lang w:val="en-GB" w:eastAsia="en-GB"/>
        </w:rPr>
        <w:t>/...</w:t>
      </w:r>
      <w:r>
        <w:rPr>
          <w:sz w:val="24"/>
          <w:szCs w:val="24"/>
          <w:lang w:val="en-GB" w:eastAsia="en-GB"/>
        </w:rPr>
        <w:t>....</w:t>
      </w:r>
      <w:r w:rsidRPr="00DA4683">
        <w:rPr>
          <w:sz w:val="24"/>
          <w:szCs w:val="24"/>
          <w:lang w:val="en-GB" w:eastAsia="en-GB"/>
        </w:rPr>
        <w:t>...............</w:t>
      </w:r>
    </w:p>
    <w:p w14:paraId="027237FC" w14:textId="66A98C80" w:rsidR="00DA4683" w:rsidRPr="00DA4683" w:rsidRDefault="00DA4683" w:rsidP="00B04E8A">
      <w:pPr>
        <w:widowControl/>
        <w:autoSpaceDE/>
        <w:autoSpaceDN/>
        <w:spacing w:before="100" w:beforeAutospacing="1" w:after="100" w:afterAutospacing="1"/>
        <w:rPr>
          <w:sz w:val="24"/>
          <w:szCs w:val="24"/>
          <w:lang w:val="en-GB" w:eastAsia="en-GB"/>
        </w:rPr>
      </w:pPr>
      <w:r w:rsidRPr="00DA4683">
        <w:rPr>
          <w:b/>
          <w:bCs/>
          <w:sz w:val="24"/>
          <w:szCs w:val="24"/>
          <w:lang w:val="en-GB" w:eastAsia="en-GB"/>
        </w:rPr>
        <w:t>Date of Issue:</w:t>
      </w:r>
      <w:r w:rsidRPr="00DA4683">
        <w:rPr>
          <w:sz w:val="24"/>
          <w:szCs w:val="24"/>
          <w:lang w:val="en-GB" w:eastAsia="en-GB"/>
        </w:rPr>
        <w:t xml:space="preserve"> ....</w:t>
      </w:r>
      <w:r>
        <w:rPr>
          <w:sz w:val="24"/>
          <w:szCs w:val="24"/>
          <w:lang w:val="en-GB" w:eastAsia="en-GB"/>
        </w:rPr>
        <w:t>...........</w:t>
      </w:r>
      <w:r w:rsidR="00056B22">
        <w:rPr>
          <w:sz w:val="24"/>
          <w:szCs w:val="24"/>
          <w:lang w:val="en-GB" w:eastAsia="en-GB"/>
        </w:rPr>
        <w:t>...</w:t>
      </w:r>
      <w:r>
        <w:rPr>
          <w:sz w:val="24"/>
          <w:szCs w:val="24"/>
          <w:lang w:val="en-GB" w:eastAsia="en-GB"/>
        </w:rPr>
        <w:t>.........................</w:t>
      </w:r>
      <w:r w:rsidRPr="00DA4683">
        <w:rPr>
          <w:sz w:val="24"/>
          <w:szCs w:val="24"/>
          <w:lang w:val="en-GB" w:eastAsia="en-GB"/>
        </w:rPr>
        <w:t>.</w:t>
      </w:r>
      <w:r>
        <w:rPr>
          <w:sz w:val="24"/>
          <w:szCs w:val="24"/>
          <w:lang w:val="en-GB" w:eastAsia="en-GB"/>
        </w:rPr>
        <w:t>............</w:t>
      </w:r>
      <w:r w:rsidRPr="00DA4683">
        <w:rPr>
          <w:sz w:val="24"/>
          <w:szCs w:val="24"/>
          <w:lang w:val="en-GB" w:eastAsia="en-GB"/>
        </w:rPr>
        <w:t>..........</w:t>
      </w:r>
    </w:p>
    <w:p w14:paraId="72DA710C" w14:textId="77777777" w:rsidR="00DA4683" w:rsidRPr="000A3574" w:rsidRDefault="00DA4683" w:rsidP="00DA4683">
      <w:pPr>
        <w:widowControl/>
        <w:autoSpaceDE/>
        <w:autoSpaceDN/>
        <w:spacing w:before="100" w:beforeAutospacing="1" w:after="100" w:afterAutospacing="1"/>
        <w:outlineLvl w:val="1"/>
        <w:rPr>
          <w:b/>
          <w:bCs/>
          <w:sz w:val="24"/>
          <w:szCs w:val="24"/>
          <w:lang w:val="en-GB" w:eastAsia="en-GB"/>
        </w:rPr>
      </w:pPr>
      <w:r w:rsidRPr="000A3574">
        <w:rPr>
          <w:b/>
          <w:bCs/>
          <w:sz w:val="24"/>
          <w:szCs w:val="24"/>
          <w:lang w:val="en-GB" w:eastAsia="en-GB"/>
        </w:rPr>
        <w:t>Preamble</w:t>
      </w:r>
    </w:p>
    <w:p w14:paraId="412FC389" w14:textId="77777777" w:rsidR="00DA4683" w:rsidRPr="00DA4683" w:rsidRDefault="00DA4683" w:rsidP="00593739">
      <w:pPr>
        <w:widowControl/>
        <w:autoSpaceDE/>
        <w:autoSpaceDN/>
        <w:spacing w:before="100" w:beforeAutospacing="1" w:after="100" w:afterAutospacing="1" w:line="276" w:lineRule="auto"/>
        <w:rPr>
          <w:sz w:val="24"/>
          <w:szCs w:val="24"/>
          <w:lang w:val="en-GB" w:eastAsia="en-GB"/>
        </w:rPr>
      </w:pPr>
      <w:r w:rsidRPr="00DA4683">
        <w:rPr>
          <w:sz w:val="24"/>
          <w:szCs w:val="24"/>
          <w:lang w:val="en-GB" w:eastAsia="en-GB"/>
        </w:rPr>
        <w:t>This Notice is a contractual offer made under English Common Law. It applies to all corporations, government bodies, enforcement officers, security personnel, agents, employees, and contractors (hereafter “Parties”) who engage with me, my property, or my private affairs.</w:t>
      </w:r>
    </w:p>
    <w:p w14:paraId="606D3802" w14:textId="77777777" w:rsidR="00DA4683" w:rsidRPr="00DA4683" w:rsidRDefault="00DA4683" w:rsidP="00593739">
      <w:pPr>
        <w:widowControl/>
        <w:autoSpaceDE/>
        <w:autoSpaceDN/>
        <w:spacing w:before="100" w:beforeAutospacing="1" w:after="100" w:afterAutospacing="1" w:line="276" w:lineRule="auto"/>
        <w:rPr>
          <w:sz w:val="24"/>
          <w:szCs w:val="24"/>
          <w:lang w:val="en-GB" w:eastAsia="en-GB"/>
        </w:rPr>
      </w:pPr>
      <w:r w:rsidRPr="00DA4683">
        <w:rPr>
          <w:sz w:val="24"/>
          <w:szCs w:val="24"/>
          <w:lang w:val="en-GB" w:eastAsia="en-GB"/>
        </w:rPr>
        <w:t>By engaging in any of the activities listed herein, the Parties agree to be bound by the fees and conditions below.</w:t>
      </w:r>
    </w:p>
    <w:p w14:paraId="590A8B61" w14:textId="0E5B749A" w:rsidR="00DA4683" w:rsidRPr="00DA4683" w:rsidRDefault="00DA4683" w:rsidP="00593739">
      <w:pPr>
        <w:widowControl/>
        <w:autoSpaceDE/>
        <w:autoSpaceDN/>
        <w:spacing w:before="100" w:beforeAutospacing="1" w:after="100" w:afterAutospacing="1" w:line="276" w:lineRule="auto"/>
        <w:rPr>
          <w:sz w:val="24"/>
          <w:szCs w:val="24"/>
          <w:lang w:val="en-GB" w:eastAsia="en-GB"/>
        </w:rPr>
      </w:pPr>
      <w:r w:rsidRPr="00DA4683">
        <w:rPr>
          <w:sz w:val="24"/>
          <w:szCs w:val="24"/>
          <w:lang w:val="en-GB" w:eastAsia="en-GB"/>
        </w:rPr>
        <w:t>This Notice is supported by Common Law</w:t>
      </w:r>
      <w:r w:rsidR="00A570C8">
        <w:rPr>
          <w:sz w:val="24"/>
          <w:szCs w:val="24"/>
          <w:lang w:val="en-GB" w:eastAsia="en-GB"/>
        </w:rPr>
        <w:t>,</w:t>
      </w:r>
      <w:r w:rsidRPr="00DA4683">
        <w:rPr>
          <w:sz w:val="24"/>
          <w:szCs w:val="24"/>
          <w:lang w:val="en-GB" w:eastAsia="en-GB"/>
        </w:rPr>
        <w:t xml:space="preserve"> the Bill of Rights 1689, and statutory law including but not limited to the Human Rights Act 1998, the Protection from Harassment Act 1997, the Criminal Law Act 1977, and the Torts (Interference with Goods) Act 1977.</w:t>
      </w:r>
    </w:p>
    <w:p w14:paraId="6ABAB506" w14:textId="1AEDFF14" w:rsidR="00DA4683" w:rsidRPr="000A3574" w:rsidRDefault="00DA4683" w:rsidP="00B04E8A">
      <w:pPr>
        <w:widowControl/>
        <w:autoSpaceDE/>
        <w:autoSpaceDN/>
        <w:spacing w:before="100" w:beforeAutospacing="1" w:after="100" w:afterAutospacing="1"/>
        <w:jc w:val="center"/>
        <w:rPr>
          <w:sz w:val="24"/>
          <w:szCs w:val="24"/>
          <w:lang w:val="en-GB" w:eastAsia="en-GB"/>
        </w:rPr>
      </w:pPr>
      <w:r w:rsidRPr="000A3574">
        <w:rPr>
          <w:b/>
          <w:bCs/>
          <w:sz w:val="24"/>
          <w:szCs w:val="24"/>
          <w:lang w:val="en-GB" w:eastAsia="en-GB"/>
        </w:rPr>
        <w:t>Notice to Agent is Notice to Principal. Notice to Principal is Notice to Agent.</w:t>
      </w:r>
    </w:p>
    <w:p w14:paraId="17BF8F1C" w14:textId="77777777" w:rsidR="00DA4683" w:rsidRPr="000A3574" w:rsidRDefault="00DA4683" w:rsidP="00DA4683">
      <w:pPr>
        <w:widowControl/>
        <w:autoSpaceDE/>
        <w:autoSpaceDN/>
        <w:spacing w:before="100" w:beforeAutospacing="1" w:after="100" w:afterAutospacing="1"/>
        <w:outlineLvl w:val="1"/>
        <w:rPr>
          <w:b/>
          <w:bCs/>
          <w:sz w:val="24"/>
          <w:szCs w:val="24"/>
          <w:lang w:val="en-GB" w:eastAsia="en-GB"/>
        </w:rPr>
      </w:pPr>
      <w:r w:rsidRPr="000A3574">
        <w:rPr>
          <w:b/>
          <w:bCs/>
          <w:sz w:val="24"/>
          <w:szCs w:val="24"/>
          <w:lang w:val="en-GB" w:eastAsia="en-GB"/>
        </w:rPr>
        <w:t>Terms and Fee Schedule</w:t>
      </w:r>
    </w:p>
    <w:p w14:paraId="05FC8A24" w14:textId="0CB33EDB" w:rsidR="00593739" w:rsidRPr="00593739"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Denial of Due Process</w:t>
      </w:r>
      <w:r w:rsidRPr="00DA4683">
        <w:rPr>
          <w:sz w:val="24"/>
          <w:szCs w:val="24"/>
          <w:lang w:val="en-GB" w:eastAsia="en-GB"/>
        </w:rPr>
        <w:t xml:space="preserve"> – £1,000,000 per denial of due process or jury trial.</w:t>
      </w:r>
      <w:r w:rsidRPr="00DA4683">
        <w:rPr>
          <w:sz w:val="24"/>
          <w:szCs w:val="24"/>
          <w:lang w:val="en-GB" w:eastAsia="en-GB"/>
        </w:rPr>
        <w:br/>
      </w:r>
      <w:r w:rsidRPr="00DA4683">
        <w:rPr>
          <w:i/>
          <w:iCs/>
          <w:sz w:val="24"/>
          <w:szCs w:val="24"/>
          <w:lang w:val="en-GB" w:eastAsia="en-GB"/>
        </w:rPr>
        <w:t>(Human Rights Act 1998, Art. 6)</w:t>
      </w:r>
    </w:p>
    <w:p w14:paraId="14308698" w14:textId="1890CC5B" w:rsidR="00593739" w:rsidRDefault="00593739" w:rsidP="00B4754D">
      <w:pPr>
        <w:widowControl/>
        <w:numPr>
          <w:ilvl w:val="0"/>
          <w:numId w:val="2"/>
        </w:numPr>
        <w:autoSpaceDE/>
        <w:autoSpaceDN/>
        <w:spacing w:before="100" w:beforeAutospacing="1" w:after="100" w:afterAutospacing="1" w:line="276" w:lineRule="auto"/>
        <w:rPr>
          <w:sz w:val="24"/>
          <w:szCs w:val="24"/>
          <w:lang w:val="en-GB" w:eastAsia="en-GB"/>
        </w:rPr>
      </w:pPr>
      <w:r w:rsidRPr="00593739">
        <w:rPr>
          <w:b/>
          <w:bCs/>
          <w:sz w:val="24"/>
          <w:szCs w:val="24"/>
          <w:lang w:val="en-GB" w:eastAsia="en-GB"/>
        </w:rPr>
        <w:t>Enforcement Collection</w:t>
      </w:r>
      <w:r w:rsidRPr="00593739">
        <w:rPr>
          <w:sz w:val="24"/>
          <w:szCs w:val="24"/>
          <w:lang w:val="en-GB" w:eastAsia="en-GB"/>
        </w:rPr>
        <w:t xml:space="preserve"> – Actual costs per private enforcement company. Debts above £1,500 subject to 8.5% interest.</w:t>
      </w:r>
    </w:p>
    <w:p w14:paraId="3C9C757F" w14:textId="32482141" w:rsidR="00DA4683" w:rsidRPr="00593739" w:rsidRDefault="00DA4683" w:rsidP="00B4754D">
      <w:pPr>
        <w:widowControl/>
        <w:numPr>
          <w:ilvl w:val="0"/>
          <w:numId w:val="2"/>
        </w:numPr>
        <w:autoSpaceDE/>
        <w:autoSpaceDN/>
        <w:spacing w:before="100" w:beforeAutospacing="1" w:after="100" w:afterAutospacing="1" w:line="276" w:lineRule="auto"/>
        <w:rPr>
          <w:sz w:val="24"/>
          <w:szCs w:val="24"/>
          <w:lang w:val="en-GB" w:eastAsia="en-GB"/>
        </w:rPr>
      </w:pPr>
      <w:r w:rsidRPr="00593739">
        <w:rPr>
          <w:b/>
          <w:bCs/>
          <w:sz w:val="24"/>
          <w:szCs w:val="24"/>
          <w:lang w:val="en-GB" w:eastAsia="en-GB"/>
        </w:rPr>
        <w:t>Harassment</w:t>
      </w:r>
      <w:r w:rsidRPr="00593739">
        <w:rPr>
          <w:sz w:val="24"/>
          <w:szCs w:val="24"/>
          <w:lang w:val="en-GB" w:eastAsia="en-GB"/>
        </w:rPr>
        <w:t xml:space="preserve"> – £1,000 per act.</w:t>
      </w:r>
      <w:r w:rsidRPr="00593739">
        <w:rPr>
          <w:sz w:val="24"/>
          <w:szCs w:val="24"/>
          <w:lang w:val="en-GB" w:eastAsia="en-GB"/>
        </w:rPr>
        <w:br/>
      </w:r>
      <w:r w:rsidRPr="00593739">
        <w:rPr>
          <w:i/>
          <w:iCs/>
          <w:sz w:val="24"/>
          <w:szCs w:val="24"/>
          <w:lang w:val="en-GB" w:eastAsia="en-GB"/>
        </w:rPr>
        <w:t>(Malicious Communications Act 1988; Protection from Harassment Act 1997)</w:t>
      </w:r>
    </w:p>
    <w:p w14:paraId="126D370E" w14:textId="45B298F4" w:rsidR="00593739" w:rsidRPr="00670BAE"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Kidnap / Unlawful Arrest</w:t>
      </w:r>
      <w:r w:rsidRPr="00DA4683">
        <w:rPr>
          <w:sz w:val="24"/>
          <w:szCs w:val="24"/>
          <w:lang w:val="en-GB" w:eastAsia="en-GB"/>
        </w:rPr>
        <w:t xml:space="preserve"> – £5,000 per person per day.</w:t>
      </w:r>
      <w:r w:rsidRPr="00DA4683">
        <w:rPr>
          <w:sz w:val="24"/>
          <w:szCs w:val="24"/>
          <w:lang w:val="en-GB" w:eastAsia="en-GB"/>
        </w:rPr>
        <w:br/>
      </w:r>
      <w:r w:rsidRPr="00DA4683">
        <w:rPr>
          <w:i/>
          <w:iCs/>
          <w:sz w:val="24"/>
          <w:szCs w:val="24"/>
          <w:lang w:val="en-GB" w:eastAsia="en-GB"/>
        </w:rPr>
        <w:t>(Criminal Law Act 1977, s.6; HRA 1998, Art. 3 &amp; 5)</w:t>
      </w:r>
    </w:p>
    <w:p w14:paraId="6FA2A733" w14:textId="7A26BFB1" w:rsidR="00670BAE" w:rsidRPr="00670BAE" w:rsidRDefault="00670BAE" w:rsidP="00670BAE">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Libel / Defamation / Extortion</w:t>
      </w:r>
      <w:r w:rsidRPr="00DA4683">
        <w:rPr>
          <w:sz w:val="24"/>
          <w:szCs w:val="24"/>
          <w:lang w:val="en-GB" w:eastAsia="en-GB"/>
        </w:rPr>
        <w:t xml:space="preserve"> – £10,000 per act.</w:t>
      </w:r>
      <w:r w:rsidRPr="00DA4683">
        <w:rPr>
          <w:sz w:val="24"/>
          <w:szCs w:val="24"/>
          <w:lang w:val="en-GB" w:eastAsia="en-GB"/>
        </w:rPr>
        <w:br/>
      </w:r>
      <w:r w:rsidRPr="00DA4683">
        <w:rPr>
          <w:i/>
          <w:iCs/>
          <w:sz w:val="24"/>
          <w:szCs w:val="24"/>
          <w:lang w:val="en-GB" w:eastAsia="en-GB"/>
        </w:rPr>
        <w:t>(Defamation Act 2013; Fraud Act 2006)</w:t>
      </w:r>
    </w:p>
    <w:p w14:paraId="3B94D3D9" w14:textId="542D6D85" w:rsidR="00670BAE" w:rsidRPr="00670BAE" w:rsidRDefault="00670BAE" w:rsidP="00670BAE">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Permanent Injury / Disfigurement</w:t>
      </w:r>
      <w:r w:rsidRPr="00DA4683">
        <w:rPr>
          <w:sz w:val="24"/>
          <w:szCs w:val="24"/>
          <w:lang w:val="en-GB" w:eastAsia="en-GB"/>
        </w:rPr>
        <w:t xml:space="preserve"> – £1,000,000 per unlawful or unprovoked injury.</w:t>
      </w:r>
    </w:p>
    <w:p w14:paraId="00173DFE" w14:textId="71C1A06E" w:rsidR="00670BAE" w:rsidRPr="00670BAE" w:rsidRDefault="00670BAE" w:rsidP="00670BAE">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Physical / Psychological Harm</w:t>
      </w:r>
      <w:r w:rsidRPr="00DA4683">
        <w:rPr>
          <w:sz w:val="24"/>
          <w:szCs w:val="24"/>
          <w:lang w:val="en-GB" w:eastAsia="en-GB"/>
        </w:rPr>
        <w:t xml:space="preserve"> – £20,000 per individual harmed.</w:t>
      </w:r>
      <w:r w:rsidRPr="00DA4683">
        <w:rPr>
          <w:sz w:val="24"/>
          <w:szCs w:val="24"/>
          <w:lang w:val="en-GB" w:eastAsia="en-GB"/>
        </w:rPr>
        <w:br/>
      </w:r>
      <w:r w:rsidRPr="00DA4683">
        <w:rPr>
          <w:i/>
          <w:iCs/>
          <w:sz w:val="24"/>
          <w:szCs w:val="24"/>
          <w:lang w:val="en-GB" w:eastAsia="en-GB"/>
        </w:rPr>
        <w:t>(Offences Against the Person Act 1861)</w:t>
      </w:r>
    </w:p>
    <w:p w14:paraId="7D54D9D2" w14:textId="59FC975E" w:rsidR="00B414B7" w:rsidRPr="00B414B7" w:rsidRDefault="00B414B7" w:rsidP="00B414B7">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Seizure of Goods</w:t>
      </w:r>
      <w:r w:rsidRPr="00DA4683">
        <w:rPr>
          <w:sz w:val="24"/>
          <w:szCs w:val="24"/>
          <w:lang w:val="en-GB" w:eastAsia="en-GB"/>
        </w:rPr>
        <w:t xml:space="preserve"> – £1,250 per day until goods are returned.</w:t>
      </w:r>
      <w:r w:rsidRPr="00DA4683">
        <w:rPr>
          <w:sz w:val="24"/>
          <w:szCs w:val="24"/>
          <w:lang w:val="en-GB" w:eastAsia="en-GB"/>
        </w:rPr>
        <w:br/>
      </w:r>
      <w:r w:rsidRPr="00DA4683">
        <w:rPr>
          <w:i/>
          <w:iCs/>
          <w:sz w:val="24"/>
          <w:szCs w:val="24"/>
          <w:lang w:val="en-GB" w:eastAsia="en-GB"/>
        </w:rPr>
        <w:t>(Torts (Interference with Goods) Act 1977; Theft Act 1968)</w:t>
      </w:r>
    </w:p>
    <w:p w14:paraId="2248F3FF" w14:textId="77777777" w:rsidR="00FE46A9" w:rsidRDefault="00DA4683" w:rsidP="00FE46A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SIA-Licensed Security Attendance</w:t>
      </w:r>
      <w:r w:rsidRPr="00DA4683">
        <w:rPr>
          <w:sz w:val="24"/>
          <w:szCs w:val="24"/>
          <w:lang w:val="en-GB" w:eastAsia="en-GB"/>
        </w:rPr>
        <w:t xml:space="preserve"> – £250 per attendance.</w:t>
      </w:r>
      <w:r w:rsidRPr="00DA4683">
        <w:rPr>
          <w:sz w:val="24"/>
          <w:szCs w:val="24"/>
          <w:lang w:val="en-GB" w:eastAsia="en-GB"/>
        </w:rPr>
        <w:br/>
      </w:r>
      <w:r w:rsidRPr="00DA4683">
        <w:rPr>
          <w:i/>
          <w:iCs/>
          <w:sz w:val="24"/>
          <w:szCs w:val="24"/>
          <w:lang w:val="en-GB" w:eastAsia="en-GB"/>
        </w:rPr>
        <w:t>(Private Security Industry Act 2001)</w:t>
      </w:r>
    </w:p>
    <w:p w14:paraId="470C224A" w14:textId="206706C9" w:rsidR="00FE46A9" w:rsidRPr="00FE46A9" w:rsidRDefault="00D03F17" w:rsidP="00FE46A9">
      <w:pPr>
        <w:widowControl/>
        <w:numPr>
          <w:ilvl w:val="0"/>
          <w:numId w:val="2"/>
        </w:numPr>
        <w:autoSpaceDE/>
        <w:autoSpaceDN/>
        <w:spacing w:before="100" w:beforeAutospacing="1" w:after="100" w:afterAutospacing="1" w:line="276" w:lineRule="auto"/>
        <w:rPr>
          <w:sz w:val="24"/>
          <w:szCs w:val="24"/>
          <w:lang w:val="en-GB" w:eastAsia="en-GB"/>
        </w:rPr>
      </w:pPr>
      <w:r w:rsidRPr="00FE46A9">
        <w:rPr>
          <w:b/>
          <w:bCs/>
          <w:sz w:val="24"/>
          <w:szCs w:val="24"/>
          <w:lang w:val="en-GB" w:eastAsia="en-GB"/>
        </w:rPr>
        <w:lastRenderedPageBreak/>
        <w:t xml:space="preserve">Supply of </w:t>
      </w:r>
      <w:r w:rsidR="00F91DF6" w:rsidRPr="00FE46A9">
        <w:rPr>
          <w:b/>
          <w:bCs/>
          <w:sz w:val="24"/>
          <w:szCs w:val="24"/>
          <w:lang w:val="en-GB" w:eastAsia="en-GB"/>
        </w:rPr>
        <w:t xml:space="preserve">Harmful </w:t>
      </w:r>
      <w:r w:rsidRPr="00FE46A9">
        <w:rPr>
          <w:b/>
          <w:bCs/>
          <w:sz w:val="24"/>
          <w:szCs w:val="24"/>
          <w:lang w:val="en-GB" w:eastAsia="en-GB"/>
        </w:rPr>
        <w:t>Water</w:t>
      </w:r>
      <w:r w:rsidRPr="00FE46A9">
        <w:rPr>
          <w:sz w:val="24"/>
          <w:szCs w:val="24"/>
          <w:lang w:val="en-GB" w:eastAsia="en-GB"/>
        </w:rPr>
        <w:t xml:space="preserve"> – </w:t>
      </w:r>
      <w:r w:rsidR="00686E17" w:rsidRPr="00FE46A9">
        <w:rPr>
          <w:sz w:val="24"/>
          <w:szCs w:val="24"/>
          <w:lang w:val="en-GB" w:eastAsia="en-GB"/>
        </w:rPr>
        <w:t>£450 charge per calendar month for post-delivery treatment, as set out in a binding agreement by acquiescence</w:t>
      </w:r>
      <w:r w:rsidR="00FE46A9">
        <w:rPr>
          <w:sz w:val="24"/>
          <w:szCs w:val="24"/>
          <w:lang w:val="en-GB" w:eastAsia="en-GB"/>
        </w:rPr>
        <w:t xml:space="preserve">. </w:t>
      </w:r>
      <w:r w:rsidR="00FE46A9" w:rsidRPr="00FE46A9">
        <w:rPr>
          <w:sz w:val="24"/>
          <w:szCs w:val="24"/>
          <w:lang w:val="en-GB" w:eastAsia="en-GB"/>
        </w:rPr>
        <w:t>This is in accordance with the duty under the Water Industry Act 1991, Section 68 (requirements for water to be wholesome) and Section 70 (offence of supplying water unfit for human consumption).</w:t>
      </w:r>
    </w:p>
    <w:p w14:paraId="16D98476" w14:textId="77777777" w:rsidR="00593739" w:rsidRPr="00DA4683"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Trademark / Copyright Infringement</w:t>
      </w:r>
      <w:r w:rsidRPr="00DA4683">
        <w:rPr>
          <w:sz w:val="24"/>
          <w:szCs w:val="24"/>
          <w:lang w:val="en-GB" w:eastAsia="en-GB"/>
        </w:rPr>
        <w:t xml:space="preserve"> – £500 per infringement.</w:t>
      </w:r>
      <w:r w:rsidRPr="00DA4683">
        <w:rPr>
          <w:sz w:val="24"/>
          <w:szCs w:val="24"/>
          <w:lang w:val="en-GB" w:eastAsia="en-GB"/>
        </w:rPr>
        <w:br/>
      </w:r>
      <w:r w:rsidRPr="00DA4683">
        <w:rPr>
          <w:i/>
          <w:iCs/>
          <w:sz w:val="24"/>
          <w:szCs w:val="24"/>
          <w:lang w:val="en-GB" w:eastAsia="en-GB"/>
        </w:rPr>
        <w:t>(Copyright, Designs and Patents Act 1988)</w:t>
      </w:r>
    </w:p>
    <w:p w14:paraId="426E26F6" w14:textId="294CD763" w:rsidR="00593739" w:rsidRPr="00593739"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Trespass</w:t>
      </w:r>
      <w:r w:rsidRPr="00DA4683">
        <w:rPr>
          <w:sz w:val="24"/>
          <w:szCs w:val="24"/>
          <w:lang w:val="en-GB" w:eastAsia="en-GB"/>
        </w:rPr>
        <w:t xml:space="preserve"> – £9,950 per act.</w:t>
      </w:r>
      <w:r w:rsidRPr="00DA4683">
        <w:rPr>
          <w:sz w:val="24"/>
          <w:szCs w:val="24"/>
          <w:lang w:val="en-GB" w:eastAsia="en-GB"/>
        </w:rPr>
        <w:br/>
      </w:r>
      <w:r w:rsidRPr="00DA4683">
        <w:rPr>
          <w:i/>
          <w:iCs/>
          <w:sz w:val="24"/>
          <w:szCs w:val="24"/>
          <w:lang w:val="en-GB" w:eastAsia="en-GB"/>
        </w:rPr>
        <w:t>(Criminal Justice and Public Order Act 1994, s.61(4))</w:t>
      </w:r>
    </w:p>
    <w:p w14:paraId="4B80585A" w14:textId="77777777" w:rsidR="00593739" w:rsidRPr="00DA4683"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Unauthorised Use of Legal Fiction Name</w:t>
      </w:r>
      <w:r w:rsidRPr="00DA4683">
        <w:rPr>
          <w:sz w:val="24"/>
          <w:szCs w:val="24"/>
          <w:lang w:val="en-GB" w:eastAsia="en-GB"/>
        </w:rPr>
        <w:t xml:space="preserve"> – £500 per unauthorised use.</w:t>
      </w:r>
    </w:p>
    <w:p w14:paraId="386E5D16" w14:textId="616F613E" w:rsidR="00B414B7" w:rsidRPr="00B414B7" w:rsidRDefault="00B414B7" w:rsidP="00B414B7">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Unlawful Stop / Interference / Detention</w:t>
      </w:r>
      <w:r w:rsidRPr="00DA4683">
        <w:rPr>
          <w:sz w:val="24"/>
          <w:szCs w:val="24"/>
          <w:lang w:val="en-GB" w:eastAsia="en-GB"/>
        </w:rPr>
        <w:t xml:space="preserve"> – £500 per hour per individual. Litigation costs: £10,000 per hour.</w:t>
      </w:r>
      <w:r w:rsidRPr="00DA4683">
        <w:rPr>
          <w:sz w:val="24"/>
          <w:szCs w:val="24"/>
          <w:lang w:val="en-GB" w:eastAsia="en-GB"/>
        </w:rPr>
        <w:br/>
      </w:r>
      <w:r w:rsidRPr="00DA4683">
        <w:rPr>
          <w:i/>
          <w:iCs/>
          <w:sz w:val="24"/>
          <w:szCs w:val="24"/>
          <w:lang w:val="en-GB" w:eastAsia="en-GB"/>
        </w:rPr>
        <w:t>(Human Rights Act 1998, Art. 5 &amp; 8)</w:t>
      </w:r>
    </w:p>
    <w:p w14:paraId="748F7B51" w14:textId="45430D9F" w:rsidR="00593739"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Unsolicited Telephone / Email Contact</w:t>
      </w:r>
      <w:r w:rsidRPr="00DA4683">
        <w:rPr>
          <w:sz w:val="24"/>
          <w:szCs w:val="24"/>
          <w:lang w:val="en-GB" w:eastAsia="en-GB"/>
        </w:rPr>
        <w:t xml:space="preserve"> – £50 per attempt.</w:t>
      </w:r>
    </w:p>
    <w:p w14:paraId="2A3E9A26" w14:textId="482FA535" w:rsidR="00593739" w:rsidRPr="00593739"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Unverified Claims in Writing</w:t>
      </w:r>
      <w:r w:rsidRPr="00DA4683">
        <w:rPr>
          <w:sz w:val="24"/>
          <w:szCs w:val="24"/>
          <w:lang w:val="en-GB" w:eastAsia="en-GB"/>
        </w:rPr>
        <w:t xml:space="preserve"> – £500 per claim.</w:t>
      </w:r>
    </w:p>
    <w:p w14:paraId="3F7AB928" w14:textId="77777777" w:rsidR="00593739" w:rsidRPr="00DA4683" w:rsidRDefault="00593739" w:rsidP="00593739">
      <w:pPr>
        <w:widowControl/>
        <w:numPr>
          <w:ilvl w:val="0"/>
          <w:numId w:val="2"/>
        </w:numPr>
        <w:autoSpaceDE/>
        <w:autoSpaceDN/>
        <w:spacing w:before="100" w:beforeAutospacing="1" w:after="100" w:afterAutospacing="1" w:line="276" w:lineRule="auto"/>
        <w:rPr>
          <w:sz w:val="24"/>
          <w:szCs w:val="24"/>
          <w:lang w:val="en-GB" w:eastAsia="en-GB"/>
        </w:rPr>
      </w:pPr>
      <w:r w:rsidRPr="00DA4683">
        <w:rPr>
          <w:b/>
          <w:bCs/>
          <w:sz w:val="24"/>
          <w:szCs w:val="24"/>
          <w:lang w:val="en-GB" w:eastAsia="en-GB"/>
        </w:rPr>
        <w:t>Unwanted Letters / Documents</w:t>
      </w:r>
      <w:r w:rsidRPr="00DA4683">
        <w:rPr>
          <w:sz w:val="24"/>
          <w:szCs w:val="24"/>
          <w:lang w:val="en-GB" w:eastAsia="en-GB"/>
        </w:rPr>
        <w:t xml:space="preserve"> – £500 per item sent.</w:t>
      </w:r>
    </w:p>
    <w:p w14:paraId="7C87157D" w14:textId="77777777" w:rsidR="00DA4683" w:rsidRPr="000A3574" w:rsidRDefault="00DA4683" w:rsidP="00DA4683">
      <w:pPr>
        <w:widowControl/>
        <w:autoSpaceDE/>
        <w:autoSpaceDN/>
        <w:spacing w:before="100" w:beforeAutospacing="1" w:after="100" w:afterAutospacing="1"/>
        <w:outlineLvl w:val="1"/>
        <w:rPr>
          <w:b/>
          <w:bCs/>
          <w:sz w:val="24"/>
          <w:szCs w:val="24"/>
          <w:lang w:val="en-GB" w:eastAsia="en-GB"/>
        </w:rPr>
      </w:pPr>
      <w:r w:rsidRPr="000A3574">
        <w:rPr>
          <w:b/>
          <w:bCs/>
          <w:sz w:val="24"/>
          <w:szCs w:val="24"/>
          <w:lang w:val="en-GB" w:eastAsia="en-GB"/>
        </w:rPr>
        <w:t>Agreement</w:t>
      </w:r>
    </w:p>
    <w:p w14:paraId="6550551E" w14:textId="77777777" w:rsidR="00DA4683" w:rsidRPr="00DA4683" w:rsidRDefault="00DA4683" w:rsidP="00593739">
      <w:pPr>
        <w:widowControl/>
        <w:autoSpaceDE/>
        <w:autoSpaceDN/>
        <w:spacing w:before="100" w:beforeAutospacing="1" w:after="100" w:afterAutospacing="1" w:line="276" w:lineRule="auto"/>
        <w:rPr>
          <w:sz w:val="24"/>
          <w:szCs w:val="24"/>
          <w:lang w:val="en-GB" w:eastAsia="en-GB"/>
        </w:rPr>
      </w:pPr>
      <w:r w:rsidRPr="00DA4683">
        <w:rPr>
          <w:sz w:val="24"/>
          <w:szCs w:val="24"/>
          <w:lang w:val="en-GB" w:eastAsia="en-GB"/>
        </w:rPr>
        <w:t>By engaging in any of the above actions, the Parties agree to be bound by this contract and liable for the fees set forth herein.</w:t>
      </w:r>
    </w:p>
    <w:p w14:paraId="55DE51B7" w14:textId="77777777" w:rsidR="00DA4683" w:rsidRPr="00DA4683" w:rsidRDefault="00DA4683" w:rsidP="00593739">
      <w:pPr>
        <w:widowControl/>
        <w:autoSpaceDE/>
        <w:autoSpaceDN/>
        <w:spacing w:before="100" w:beforeAutospacing="1" w:after="100" w:afterAutospacing="1" w:line="276" w:lineRule="auto"/>
        <w:rPr>
          <w:sz w:val="24"/>
          <w:szCs w:val="24"/>
          <w:lang w:val="en-GB" w:eastAsia="en-GB"/>
        </w:rPr>
      </w:pPr>
      <w:r w:rsidRPr="00DA4683">
        <w:rPr>
          <w:sz w:val="24"/>
          <w:szCs w:val="24"/>
          <w:lang w:val="en-GB" w:eastAsia="en-GB"/>
        </w:rPr>
        <w:t xml:space="preserve">Invoices are payable within </w:t>
      </w:r>
      <w:r w:rsidRPr="00DA4683">
        <w:rPr>
          <w:b/>
          <w:bCs/>
          <w:sz w:val="24"/>
          <w:szCs w:val="24"/>
          <w:lang w:val="en-GB" w:eastAsia="en-GB"/>
        </w:rPr>
        <w:t>30 days</w:t>
      </w:r>
      <w:r w:rsidRPr="00DA4683">
        <w:rPr>
          <w:sz w:val="24"/>
          <w:szCs w:val="24"/>
          <w:lang w:val="en-GB" w:eastAsia="en-GB"/>
        </w:rPr>
        <w:t xml:space="preserve"> of issue. Failure to pay will result in recovery action, including but not limited to civil claim in the County Court, with additional costs and statutory interest applied.</w:t>
      </w:r>
    </w:p>
    <w:p w14:paraId="6EF7C847" w14:textId="77777777" w:rsidR="00DA4683" w:rsidRPr="000A3574" w:rsidRDefault="00DA4683" w:rsidP="00DA4683">
      <w:pPr>
        <w:widowControl/>
        <w:autoSpaceDE/>
        <w:autoSpaceDN/>
        <w:spacing w:before="100" w:beforeAutospacing="1" w:after="100" w:afterAutospacing="1"/>
        <w:outlineLvl w:val="1"/>
        <w:rPr>
          <w:b/>
          <w:bCs/>
          <w:sz w:val="24"/>
          <w:szCs w:val="24"/>
          <w:lang w:val="en-GB" w:eastAsia="en-GB"/>
        </w:rPr>
      </w:pPr>
      <w:r w:rsidRPr="000A3574">
        <w:rPr>
          <w:b/>
          <w:bCs/>
          <w:sz w:val="24"/>
          <w:szCs w:val="24"/>
          <w:lang w:val="en-GB" w:eastAsia="en-GB"/>
        </w:rPr>
        <w:t>Declaration</w:t>
      </w:r>
    </w:p>
    <w:p w14:paraId="32CB452E" w14:textId="0281504D" w:rsidR="00DA4683" w:rsidRPr="00DA4683" w:rsidRDefault="00DA4683" w:rsidP="00593739">
      <w:pPr>
        <w:widowControl/>
        <w:autoSpaceDE/>
        <w:autoSpaceDN/>
        <w:spacing w:before="100" w:beforeAutospacing="1" w:after="100" w:afterAutospacing="1" w:line="276" w:lineRule="auto"/>
        <w:rPr>
          <w:sz w:val="24"/>
          <w:szCs w:val="24"/>
          <w:lang w:val="en-GB" w:eastAsia="en-GB"/>
        </w:rPr>
      </w:pPr>
      <w:r w:rsidRPr="00DA4683">
        <w:rPr>
          <w:sz w:val="24"/>
          <w:szCs w:val="24"/>
          <w:lang w:val="en-GB" w:eastAsia="en-GB"/>
        </w:rPr>
        <w:t xml:space="preserve">I, the undersigned, affirm that this Notice of Terms and Conditions is issued lawfully, without </w:t>
      </w:r>
      <w:r w:rsidR="00B04E8A">
        <w:rPr>
          <w:sz w:val="24"/>
          <w:szCs w:val="24"/>
          <w:lang w:val="en-GB" w:eastAsia="en-GB"/>
        </w:rPr>
        <w:t xml:space="preserve">prejudice, </w:t>
      </w:r>
      <w:r w:rsidRPr="00DA4683">
        <w:rPr>
          <w:sz w:val="24"/>
          <w:szCs w:val="24"/>
          <w:lang w:val="en-GB" w:eastAsia="en-GB"/>
        </w:rPr>
        <w:t>vexation or frivolity, and under full personal liability.</w:t>
      </w:r>
    </w:p>
    <w:p w14:paraId="49C7D70A" w14:textId="53844B5E" w:rsidR="00DA4683" w:rsidRPr="00DA4683" w:rsidRDefault="00DA4683" w:rsidP="00B04E8A">
      <w:pPr>
        <w:widowControl/>
        <w:autoSpaceDE/>
        <w:autoSpaceDN/>
        <w:spacing w:before="100" w:beforeAutospacing="1" w:after="100" w:afterAutospacing="1" w:line="480" w:lineRule="auto"/>
        <w:rPr>
          <w:sz w:val="24"/>
          <w:szCs w:val="24"/>
          <w:lang w:val="en-GB" w:eastAsia="en-GB"/>
        </w:rPr>
      </w:pPr>
      <w:r w:rsidRPr="00DA4683">
        <w:rPr>
          <w:sz w:val="24"/>
          <w:szCs w:val="24"/>
          <w:lang w:val="en-GB" w:eastAsia="en-GB"/>
        </w:rPr>
        <w:t>Signed:</w:t>
      </w:r>
      <w:r>
        <w:rPr>
          <w:sz w:val="24"/>
          <w:szCs w:val="24"/>
          <w:lang w:val="en-GB" w:eastAsia="en-GB"/>
        </w:rPr>
        <w:t xml:space="preserve"> </w:t>
      </w:r>
      <w:r w:rsidRPr="00DA4683">
        <w:rPr>
          <w:sz w:val="24"/>
          <w:szCs w:val="24"/>
          <w:lang w:val="en-GB" w:eastAsia="en-GB"/>
        </w:rPr>
        <w:t>...............</w:t>
      </w:r>
      <w:r>
        <w:rPr>
          <w:sz w:val="24"/>
          <w:szCs w:val="24"/>
          <w:lang w:val="en-GB" w:eastAsia="en-GB"/>
        </w:rPr>
        <w:t>...................</w:t>
      </w:r>
      <w:r w:rsidRPr="00DA4683">
        <w:rPr>
          <w:sz w:val="24"/>
          <w:szCs w:val="24"/>
          <w:lang w:val="en-GB" w:eastAsia="en-GB"/>
        </w:rPr>
        <w:t>..</w:t>
      </w:r>
      <w:r>
        <w:rPr>
          <w:sz w:val="24"/>
          <w:szCs w:val="24"/>
          <w:lang w:val="en-GB" w:eastAsia="en-GB"/>
        </w:rPr>
        <w:t>.</w:t>
      </w:r>
      <w:r w:rsidRPr="00DA4683">
        <w:rPr>
          <w:sz w:val="24"/>
          <w:szCs w:val="24"/>
          <w:lang w:val="en-GB" w:eastAsia="en-GB"/>
        </w:rPr>
        <w:t>...............................</w:t>
      </w:r>
      <w:r w:rsidRPr="00DA4683">
        <w:rPr>
          <w:sz w:val="24"/>
          <w:szCs w:val="24"/>
          <w:lang w:val="en-GB" w:eastAsia="en-GB"/>
        </w:rPr>
        <w:br/>
        <w:t>Name: ...................................</w:t>
      </w:r>
      <w:r>
        <w:rPr>
          <w:sz w:val="24"/>
          <w:szCs w:val="24"/>
          <w:lang w:val="en-GB" w:eastAsia="en-GB"/>
        </w:rPr>
        <w:t>.......</w:t>
      </w:r>
      <w:r w:rsidRPr="00DA4683">
        <w:rPr>
          <w:sz w:val="24"/>
          <w:szCs w:val="24"/>
          <w:lang w:val="en-GB" w:eastAsia="en-GB"/>
        </w:rPr>
        <w:t>............................</w:t>
      </w:r>
      <w:r w:rsidRPr="00DA4683">
        <w:rPr>
          <w:sz w:val="24"/>
          <w:szCs w:val="24"/>
          <w:lang w:val="en-GB" w:eastAsia="en-GB"/>
        </w:rPr>
        <w:br/>
        <w:t>Date: .......................................</w:t>
      </w:r>
      <w:r>
        <w:rPr>
          <w:sz w:val="24"/>
          <w:szCs w:val="24"/>
          <w:lang w:val="en-GB" w:eastAsia="en-GB"/>
        </w:rPr>
        <w:t>.......</w:t>
      </w:r>
      <w:r w:rsidRPr="00DA4683">
        <w:rPr>
          <w:sz w:val="24"/>
          <w:szCs w:val="24"/>
          <w:lang w:val="en-GB" w:eastAsia="en-GB"/>
        </w:rPr>
        <w:t>..........................</w:t>
      </w:r>
    </w:p>
    <w:p w14:paraId="12916D22" w14:textId="77777777" w:rsidR="00DA4683" w:rsidRPr="000A3574" w:rsidRDefault="00DA4683" w:rsidP="00B04E8A">
      <w:pPr>
        <w:widowControl/>
        <w:autoSpaceDE/>
        <w:autoSpaceDN/>
        <w:spacing w:before="100" w:beforeAutospacing="1" w:after="100" w:afterAutospacing="1"/>
        <w:outlineLvl w:val="1"/>
        <w:rPr>
          <w:b/>
          <w:bCs/>
          <w:sz w:val="24"/>
          <w:szCs w:val="24"/>
          <w:lang w:val="en-GB" w:eastAsia="en-GB"/>
        </w:rPr>
      </w:pPr>
      <w:r w:rsidRPr="000A3574">
        <w:rPr>
          <w:b/>
          <w:bCs/>
          <w:sz w:val="24"/>
          <w:szCs w:val="24"/>
          <w:lang w:val="en-GB" w:eastAsia="en-GB"/>
        </w:rPr>
        <w:t>Service Declaration</w:t>
      </w:r>
    </w:p>
    <w:p w14:paraId="7014644D" w14:textId="4CF6A21E" w:rsidR="00DA4683" w:rsidRPr="00DA4683" w:rsidRDefault="00DA4683" w:rsidP="00B04E8A">
      <w:pPr>
        <w:widowControl/>
        <w:autoSpaceDE/>
        <w:autoSpaceDN/>
        <w:spacing w:before="100" w:beforeAutospacing="1" w:after="100" w:afterAutospacing="1" w:line="360" w:lineRule="auto"/>
        <w:rPr>
          <w:sz w:val="24"/>
          <w:szCs w:val="24"/>
          <w:lang w:val="en-GB" w:eastAsia="en-GB"/>
        </w:rPr>
      </w:pPr>
      <w:r w:rsidRPr="00DA4683">
        <w:rPr>
          <w:sz w:val="24"/>
          <w:szCs w:val="24"/>
          <w:lang w:val="en-GB" w:eastAsia="en-GB"/>
        </w:rPr>
        <w:t>This Notice was served by</w:t>
      </w:r>
      <w:r w:rsidR="005757B4">
        <w:rPr>
          <w:sz w:val="24"/>
          <w:szCs w:val="24"/>
          <w:lang w:val="en-GB" w:eastAsia="en-GB"/>
        </w:rPr>
        <w:t xml:space="preserve"> (tick box)</w:t>
      </w:r>
      <w:r w:rsidRPr="00DA4683">
        <w:rPr>
          <w:sz w:val="24"/>
          <w:szCs w:val="24"/>
          <w:lang w:val="en-GB" w:eastAsia="en-GB"/>
        </w:rPr>
        <w:t>:</w:t>
      </w:r>
      <w:r w:rsidRPr="00DA4683">
        <w:rPr>
          <w:sz w:val="24"/>
          <w:szCs w:val="24"/>
          <w:lang w:val="en-GB" w:eastAsia="en-GB"/>
        </w:rPr>
        <w:br/>
      </w:r>
      <w:r w:rsidRPr="00DA4683">
        <w:rPr>
          <w:rFonts w:ascii="Segoe UI Symbol" w:hAnsi="Segoe UI Symbol" w:cs="Segoe UI Symbol"/>
          <w:sz w:val="24"/>
          <w:szCs w:val="24"/>
          <w:lang w:val="en-GB" w:eastAsia="en-GB"/>
        </w:rPr>
        <w:t>☐</w:t>
      </w:r>
      <w:r w:rsidRPr="00DA4683">
        <w:rPr>
          <w:sz w:val="24"/>
          <w:szCs w:val="24"/>
          <w:lang w:val="en-GB" w:eastAsia="en-GB"/>
        </w:rPr>
        <w:t xml:space="preserve"> Hand delivery</w:t>
      </w:r>
      <w:r w:rsidRPr="00DA4683">
        <w:rPr>
          <w:sz w:val="24"/>
          <w:szCs w:val="24"/>
          <w:lang w:val="en-GB" w:eastAsia="en-GB"/>
        </w:rPr>
        <w:br/>
      </w:r>
      <w:r w:rsidRPr="00DA4683">
        <w:rPr>
          <w:rFonts w:ascii="Segoe UI Symbol" w:hAnsi="Segoe UI Symbol" w:cs="Segoe UI Symbol"/>
          <w:sz w:val="24"/>
          <w:szCs w:val="24"/>
          <w:lang w:val="en-GB" w:eastAsia="en-GB"/>
        </w:rPr>
        <w:t>☐</w:t>
      </w:r>
      <w:r w:rsidRPr="00DA4683">
        <w:rPr>
          <w:sz w:val="24"/>
          <w:szCs w:val="24"/>
          <w:lang w:val="en-GB" w:eastAsia="en-GB"/>
        </w:rPr>
        <w:t xml:space="preserve"> Recorded delivery (tracking no: ....</w:t>
      </w:r>
      <w:r w:rsidR="00B16CDC">
        <w:rPr>
          <w:sz w:val="24"/>
          <w:szCs w:val="24"/>
          <w:lang w:val="en-GB" w:eastAsia="en-GB"/>
        </w:rPr>
        <w:t>............................................................</w:t>
      </w:r>
      <w:r w:rsidRPr="00DA4683">
        <w:rPr>
          <w:sz w:val="24"/>
          <w:szCs w:val="24"/>
          <w:lang w:val="en-GB" w:eastAsia="en-GB"/>
        </w:rPr>
        <w:t>...........)</w:t>
      </w:r>
      <w:r w:rsidRPr="00DA4683">
        <w:rPr>
          <w:sz w:val="24"/>
          <w:szCs w:val="24"/>
          <w:lang w:val="en-GB" w:eastAsia="en-GB"/>
        </w:rPr>
        <w:br/>
      </w:r>
      <w:r w:rsidRPr="00DA4683">
        <w:rPr>
          <w:rFonts w:ascii="Segoe UI Symbol" w:hAnsi="Segoe UI Symbol" w:cs="Segoe UI Symbol"/>
          <w:sz w:val="24"/>
          <w:szCs w:val="24"/>
          <w:lang w:val="en-GB" w:eastAsia="en-GB"/>
        </w:rPr>
        <w:t>☐</w:t>
      </w:r>
      <w:r w:rsidRPr="00DA4683">
        <w:rPr>
          <w:sz w:val="24"/>
          <w:szCs w:val="24"/>
          <w:lang w:val="en-GB" w:eastAsia="en-GB"/>
        </w:rPr>
        <w:t xml:space="preserve"> Witnessed delivery (Name of witness: </w:t>
      </w:r>
      <w:r w:rsidR="00B16CDC">
        <w:rPr>
          <w:sz w:val="24"/>
          <w:szCs w:val="24"/>
          <w:lang w:val="en-GB" w:eastAsia="en-GB"/>
        </w:rPr>
        <w:t>………………………………….</w:t>
      </w:r>
      <w:r w:rsidRPr="00DA4683">
        <w:rPr>
          <w:sz w:val="24"/>
          <w:szCs w:val="24"/>
          <w:lang w:val="en-GB" w:eastAsia="en-GB"/>
        </w:rPr>
        <w:t>............)</w:t>
      </w:r>
    </w:p>
    <w:p w14:paraId="5958CB97" w14:textId="36006712" w:rsidR="00DA4683" w:rsidRPr="00DA4683" w:rsidRDefault="00DA4683" w:rsidP="00B16CDC">
      <w:pPr>
        <w:widowControl/>
        <w:autoSpaceDE/>
        <w:autoSpaceDN/>
        <w:spacing w:before="100" w:beforeAutospacing="1" w:after="100" w:afterAutospacing="1" w:line="360" w:lineRule="auto"/>
        <w:rPr>
          <w:sz w:val="24"/>
          <w:szCs w:val="24"/>
          <w:lang w:val="en-GB" w:eastAsia="en-GB"/>
        </w:rPr>
      </w:pPr>
      <w:r w:rsidRPr="00DA4683">
        <w:rPr>
          <w:sz w:val="24"/>
          <w:szCs w:val="24"/>
          <w:lang w:val="en-GB" w:eastAsia="en-GB"/>
        </w:rPr>
        <w:t>Date of Service: ..............</w:t>
      </w:r>
      <w:r w:rsidR="00B16CDC">
        <w:rPr>
          <w:sz w:val="24"/>
          <w:szCs w:val="24"/>
          <w:lang w:val="en-GB" w:eastAsia="en-GB"/>
        </w:rPr>
        <w:t>....</w:t>
      </w:r>
      <w:r w:rsidRPr="00DA4683">
        <w:rPr>
          <w:sz w:val="24"/>
          <w:szCs w:val="24"/>
          <w:lang w:val="en-GB" w:eastAsia="en-GB"/>
        </w:rPr>
        <w:t>......................................</w:t>
      </w:r>
    </w:p>
    <w:p w14:paraId="3E604296" w14:textId="58C2E439" w:rsidR="00AD68C1" w:rsidRPr="00DA4683" w:rsidRDefault="00DA4683" w:rsidP="00A11041">
      <w:pPr>
        <w:widowControl/>
        <w:autoSpaceDE/>
        <w:autoSpaceDN/>
        <w:spacing w:before="100" w:beforeAutospacing="1" w:after="100" w:afterAutospacing="1" w:line="360" w:lineRule="auto"/>
        <w:rPr>
          <w:sz w:val="24"/>
          <w:szCs w:val="24"/>
        </w:rPr>
      </w:pPr>
      <w:r w:rsidRPr="00DA4683">
        <w:rPr>
          <w:sz w:val="24"/>
          <w:szCs w:val="24"/>
          <w:lang w:val="en-GB" w:eastAsia="en-GB"/>
        </w:rPr>
        <w:t>Signature of Server: .................................</w:t>
      </w:r>
      <w:r w:rsidR="00B16CDC">
        <w:rPr>
          <w:sz w:val="24"/>
          <w:szCs w:val="24"/>
          <w:lang w:val="en-GB" w:eastAsia="en-GB"/>
        </w:rPr>
        <w:t>..</w:t>
      </w:r>
      <w:r w:rsidRPr="00DA4683">
        <w:rPr>
          <w:sz w:val="24"/>
          <w:szCs w:val="24"/>
          <w:lang w:val="en-GB" w:eastAsia="en-GB"/>
        </w:rPr>
        <w:t>...............</w:t>
      </w:r>
    </w:p>
    <w:sectPr w:rsidR="00AD68C1" w:rsidRPr="00DA4683" w:rsidSect="00B04E8A">
      <w:footerReference w:type="even" r:id="rId7"/>
      <w:footerReference w:type="default" r:id="rId8"/>
      <w:type w:val="continuous"/>
      <w:pgSz w:w="11910" w:h="16840"/>
      <w:pgMar w:top="834" w:right="1000" w:bottom="101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991D" w14:textId="77777777" w:rsidR="00C0678B" w:rsidRDefault="00C0678B" w:rsidP="000A3574">
      <w:r>
        <w:separator/>
      </w:r>
    </w:p>
  </w:endnote>
  <w:endnote w:type="continuationSeparator" w:id="0">
    <w:p w14:paraId="28BB2EED" w14:textId="77777777" w:rsidR="00C0678B" w:rsidRDefault="00C0678B" w:rsidP="000A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3099757"/>
      <w:docPartObj>
        <w:docPartGallery w:val="Page Numbers (Bottom of Page)"/>
        <w:docPartUnique/>
      </w:docPartObj>
    </w:sdtPr>
    <w:sdtEndPr>
      <w:rPr>
        <w:rStyle w:val="PageNumber"/>
      </w:rPr>
    </w:sdtEndPr>
    <w:sdtContent>
      <w:p w14:paraId="26A4B2FF" w14:textId="4C83BA7A" w:rsidR="00A11041" w:rsidRDefault="00A11041" w:rsidP="00B948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4887C" w14:textId="77777777" w:rsidR="00A11041" w:rsidRDefault="00A11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98D5" w14:textId="77777777" w:rsidR="00E94A66" w:rsidRPr="00E94A66" w:rsidRDefault="00E94A66">
    <w:pPr>
      <w:pStyle w:val="Footer"/>
      <w:jc w:val="center"/>
      <w:rPr>
        <w:color w:val="000000" w:themeColor="text1"/>
      </w:rPr>
    </w:pPr>
    <w:r w:rsidRPr="00E94A66">
      <w:rPr>
        <w:color w:val="000000" w:themeColor="text1"/>
      </w:rPr>
      <w:t xml:space="preserve">Page </w:t>
    </w:r>
    <w:r w:rsidRPr="00E94A66">
      <w:rPr>
        <w:color w:val="000000" w:themeColor="text1"/>
      </w:rPr>
      <w:fldChar w:fldCharType="begin"/>
    </w:r>
    <w:r w:rsidRPr="00E94A66">
      <w:rPr>
        <w:color w:val="000000" w:themeColor="text1"/>
      </w:rPr>
      <w:instrText xml:space="preserve"> PAGE  \* Arabic  \* MERGEFORMAT </w:instrText>
    </w:r>
    <w:r w:rsidRPr="00E94A66">
      <w:rPr>
        <w:color w:val="000000" w:themeColor="text1"/>
      </w:rPr>
      <w:fldChar w:fldCharType="separate"/>
    </w:r>
    <w:r w:rsidRPr="00E94A66">
      <w:rPr>
        <w:noProof/>
        <w:color w:val="000000" w:themeColor="text1"/>
      </w:rPr>
      <w:t>2</w:t>
    </w:r>
    <w:r w:rsidRPr="00E94A66">
      <w:rPr>
        <w:color w:val="000000" w:themeColor="text1"/>
      </w:rPr>
      <w:fldChar w:fldCharType="end"/>
    </w:r>
    <w:r w:rsidRPr="00E94A66">
      <w:rPr>
        <w:color w:val="000000" w:themeColor="text1"/>
      </w:rPr>
      <w:t xml:space="preserve"> of </w:t>
    </w:r>
    <w:r w:rsidRPr="00E94A66">
      <w:rPr>
        <w:color w:val="000000" w:themeColor="text1"/>
      </w:rPr>
      <w:fldChar w:fldCharType="begin"/>
    </w:r>
    <w:r w:rsidRPr="00E94A66">
      <w:rPr>
        <w:color w:val="000000" w:themeColor="text1"/>
      </w:rPr>
      <w:instrText xml:space="preserve"> NUMPAGES  \* Arabic  \* MERGEFORMAT </w:instrText>
    </w:r>
    <w:r w:rsidRPr="00E94A66">
      <w:rPr>
        <w:color w:val="000000" w:themeColor="text1"/>
      </w:rPr>
      <w:fldChar w:fldCharType="separate"/>
    </w:r>
    <w:r w:rsidRPr="00E94A66">
      <w:rPr>
        <w:noProof/>
        <w:color w:val="000000" w:themeColor="text1"/>
      </w:rPr>
      <w:t>2</w:t>
    </w:r>
    <w:r w:rsidRPr="00E94A66">
      <w:rPr>
        <w:color w:val="000000" w:themeColor="text1"/>
      </w:rPr>
      <w:fldChar w:fldCharType="end"/>
    </w:r>
  </w:p>
  <w:p w14:paraId="1C9FEA6E" w14:textId="77777777" w:rsidR="00A11041" w:rsidRDefault="00A1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8614" w14:textId="77777777" w:rsidR="00C0678B" w:rsidRDefault="00C0678B" w:rsidP="000A3574">
      <w:r>
        <w:separator/>
      </w:r>
    </w:p>
  </w:footnote>
  <w:footnote w:type="continuationSeparator" w:id="0">
    <w:p w14:paraId="04E17BA0" w14:textId="77777777" w:rsidR="00C0678B" w:rsidRDefault="00C0678B" w:rsidP="000A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F94"/>
    <w:multiLevelType w:val="multilevel"/>
    <w:tmpl w:val="C9A0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8063F8"/>
    <w:multiLevelType w:val="hybridMultilevel"/>
    <w:tmpl w:val="FFE0C5FE"/>
    <w:lvl w:ilvl="0" w:tplc="43300B90">
      <w:start w:val="1"/>
      <w:numFmt w:val="decimal"/>
      <w:lvlText w:val="%1."/>
      <w:lvlJc w:val="left"/>
      <w:pPr>
        <w:ind w:left="516" w:hanging="397"/>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4846D78">
      <w:numFmt w:val="bullet"/>
      <w:lvlText w:val="•"/>
      <w:lvlJc w:val="left"/>
      <w:pPr>
        <w:ind w:left="1458" w:hanging="397"/>
      </w:pPr>
      <w:rPr>
        <w:rFonts w:hint="default"/>
        <w:lang w:val="en-US" w:eastAsia="en-US" w:bidi="ar-SA"/>
      </w:rPr>
    </w:lvl>
    <w:lvl w:ilvl="2" w:tplc="2EF864A2">
      <w:numFmt w:val="bullet"/>
      <w:lvlText w:val="•"/>
      <w:lvlJc w:val="left"/>
      <w:pPr>
        <w:ind w:left="2397" w:hanging="397"/>
      </w:pPr>
      <w:rPr>
        <w:rFonts w:hint="default"/>
        <w:lang w:val="en-US" w:eastAsia="en-US" w:bidi="ar-SA"/>
      </w:rPr>
    </w:lvl>
    <w:lvl w:ilvl="3" w:tplc="2CE490D6">
      <w:numFmt w:val="bullet"/>
      <w:lvlText w:val="•"/>
      <w:lvlJc w:val="left"/>
      <w:pPr>
        <w:ind w:left="3335" w:hanging="397"/>
      </w:pPr>
      <w:rPr>
        <w:rFonts w:hint="default"/>
        <w:lang w:val="en-US" w:eastAsia="en-US" w:bidi="ar-SA"/>
      </w:rPr>
    </w:lvl>
    <w:lvl w:ilvl="4" w:tplc="F28815F0">
      <w:numFmt w:val="bullet"/>
      <w:lvlText w:val="•"/>
      <w:lvlJc w:val="left"/>
      <w:pPr>
        <w:ind w:left="4274" w:hanging="397"/>
      </w:pPr>
      <w:rPr>
        <w:rFonts w:hint="default"/>
        <w:lang w:val="en-US" w:eastAsia="en-US" w:bidi="ar-SA"/>
      </w:rPr>
    </w:lvl>
    <w:lvl w:ilvl="5" w:tplc="14E27BE6">
      <w:numFmt w:val="bullet"/>
      <w:lvlText w:val="•"/>
      <w:lvlJc w:val="left"/>
      <w:pPr>
        <w:ind w:left="5212" w:hanging="397"/>
      </w:pPr>
      <w:rPr>
        <w:rFonts w:hint="default"/>
        <w:lang w:val="en-US" w:eastAsia="en-US" w:bidi="ar-SA"/>
      </w:rPr>
    </w:lvl>
    <w:lvl w:ilvl="6" w:tplc="B9F22732">
      <w:numFmt w:val="bullet"/>
      <w:lvlText w:val="•"/>
      <w:lvlJc w:val="left"/>
      <w:pPr>
        <w:ind w:left="6151" w:hanging="397"/>
      </w:pPr>
      <w:rPr>
        <w:rFonts w:hint="default"/>
        <w:lang w:val="en-US" w:eastAsia="en-US" w:bidi="ar-SA"/>
      </w:rPr>
    </w:lvl>
    <w:lvl w:ilvl="7" w:tplc="2FC29098">
      <w:numFmt w:val="bullet"/>
      <w:lvlText w:val="•"/>
      <w:lvlJc w:val="left"/>
      <w:pPr>
        <w:ind w:left="7089" w:hanging="397"/>
      </w:pPr>
      <w:rPr>
        <w:rFonts w:hint="default"/>
        <w:lang w:val="en-US" w:eastAsia="en-US" w:bidi="ar-SA"/>
      </w:rPr>
    </w:lvl>
    <w:lvl w:ilvl="8" w:tplc="BFA81792">
      <w:numFmt w:val="bullet"/>
      <w:lvlText w:val="•"/>
      <w:lvlJc w:val="left"/>
      <w:pPr>
        <w:ind w:left="8028" w:hanging="39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C1"/>
    <w:rsid w:val="00056B22"/>
    <w:rsid w:val="000A3574"/>
    <w:rsid w:val="00215A7B"/>
    <w:rsid w:val="002433F4"/>
    <w:rsid w:val="005757B4"/>
    <w:rsid w:val="00593739"/>
    <w:rsid w:val="00670BAE"/>
    <w:rsid w:val="00686E17"/>
    <w:rsid w:val="006A234A"/>
    <w:rsid w:val="00763E1C"/>
    <w:rsid w:val="00A11041"/>
    <w:rsid w:val="00A570C8"/>
    <w:rsid w:val="00AD68C1"/>
    <w:rsid w:val="00AF5282"/>
    <w:rsid w:val="00B04E8A"/>
    <w:rsid w:val="00B16CDC"/>
    <w:rsid w:val="00B414B7"/>
    <w:rsid w:val="00C0678B"/>
    <w:rsid w:val="00D03F17"/>
    <w:rsid w:val="00DA4683"/>
    <w:rsid w:val="00E94A66"/>
    <w:rsid w:val="00F114DB"/>
    <w:rsid w:val="00F91DF6"/>
    <w:rsid w:val="00FE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A65C"/>
  <w15:docId w15:val="{2AB215A2-E714-9D46-9BED-54C5EDC3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DA4683"/>
    <w:pPr>
      <w:widowControl/>
      <w:autoSpaceDE/>
      <w:autoSpaceDN/>
      <w:spacing w:before="100" w:beforeAutospacing="1" w:after="100" w:afterAutospacing="1"/>
      <w:outlineLvl w:val="0"/>
    </w:pPr>
    <w:rPr>
      <w:b/>
      <w:bCs/>
      <w:kern w:val="36"/>
      <w:sz w:val="48"/>
      <w:szCs w:val="48"/>
      <w:lang w:val="en-GB" w:eastAsia="en-GB"/>
    </w:rPr>
  </w:style>
  <w:style w:type="paragraph" w:styleId="Heading2">
    <w:name w:val="heading 2"/>
    <w:basedOn w:val="Normal"/>
    <w:link w:val="Heading2Char"/>
    <w:uiPriority w:val="9"/>
    <w:qFormat/>
    <w:rsid w:val="00DA4683"/>
    <w:pPr>
      <w:widowControl/>
      <w:autoSpaceDE/>
      <w:autoSpaceDN/>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516" w:hanging="397"/>
      <w:jc w:val="both"/>
    </w:pPr>
    <w:rPr>
      <w:sz w:val="24"/>
      <w:szCs w:val="24"/>
    </w:rPr>
  </w:style>
  <w:style w:type="paragraph" w:styleId="ListParagraph">
    <w:name w:val="List Paragraph"/>
    <w:basedOn w:val="Normal"/>
    <w:uiPriority w:val="1"/>
    <w:qFormat/>
    <w:pPr>
      <w:spacing w:before="116"/>
      <w:ind w:left="516" w:hanging="397"/>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A4683"/>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DA4683"/>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DA4683"/>
    <w:rPr>
      <w:b/>
      <w:bCs/>
    </w:rPr>
  </w:style>
  <w:style w:type="paragraph" w:styleId="NormalWeb">
    <w:name w:val="Normal (Web)"/>
    <w:basedOn w:val="Normal"/>
    <w:uiPriority w:val="99"/>
    <w:semiHidden/>
    <w:unhideWhenUsed/>
    <w:rsid w:val="00DA4683"/>
    <w:pPr>
      <w:widowControl/>
      <w:autoSpaceDE/>
      <w:autoSpaceDN/>
      <w:spacing w:before="100" w:beforeAutospacing="1" w:after="100" w:afterAutospacing="1"/>
    </w:pPr>
    <w:rPr>
      <w:sz w:val="24"/>
      <w:szCs w:val="24"/>
      <w:lang w:val="en-GB" w:eastAsia="en-GB"/>
    </w:rPr>
  </w:style>
  <w:style w:type="character" w:styleId="Emphasis">
    <w:name w:val="Emphasis"/>
    <w:basedOn w:val="DefaultParagraphFont"/>
    <w:uiPriority w:val="20"/>
    <w:qFormat/>
    <w:rsid w:val="00DA4683"/>
    <w:rPr>
      <w:i/>
      <w:iCs/>
    </w:rPr>
  </w:style>
  <w:style w:type="paragraph" w:styleId="Footer">
    <w:name w:val="footer"/>
    <w:basedOn w:val="Normal"/>
    <w:link w:val="FooterChar"/>
    <w:uiPriority w:val="99"/>
    <w:unhideWhenUsed/>
    <w:rsid w:val="000A3574"/>
    <w:pPr>
      <w:tabs>
        <w:tab w:val="center" w:pos="4513"/>
        <w:tab w:val="right" w:pos="9026"/>
      </w:tabs>
    </w:pPr>
  </w:style>
  <w:style w:type="character" w:customStyle="1" w:styleId="FooterChar">
    <w:name w:val="Footer Char"/>
    <w:basedOn w:val="DefaultParagraphFont"/>
    <w:link w:val="Footer"/>
    <w:uiPriority w:val="99"/>
    <w:rsid w:val="000A3574"/>
    <w:rPr>
      <w:rFonts w:ascii="Times New Roman" w:eastAsia="Times New Roman" w:hAnsi="Times New Roman" w:cs="Times New Roman"/>
    </w:rPr>
  </w:style>
  <w:style w:type="character" w:styleId="PageNumber">
    <w:name w:val="page number"/>
    <w:basedOn w:val="DefaultParagraphFont"/>
    <w:uiPriority w:val="99"/>
    <w:semiHidden/>
    <w:unhideWhenUsed/>
    <w:rsid w:val="000A3574"/>
  </w:style>
  <w:style w:type="paragraph" w:styleId="Header">
    <w:name w:val="header"/>
    <w:basedOn w:val="Normal"/>
    <w:link w:val="HeaderChar"/>
    <w:uiPriority w:val="99"/>
    <w:unhideWhenUsed/>
    <w:rsid w:val="00A11041"/>
    <w:pPr>
      <w:tabs>
        <w:tab w:val="center" w:pos="4513"/>
        <w:tab w:val="right" w:pos="9026"/>
      </w:tabs>
    </w:pPr>
  </w:style>
  <w:style w:type="character" w:customStyle="1" w:styleId="HeaderChar">
    <w:name w:val="Header Char"/>
    <w:basedOn w:val="DefaultParagraphFont"/>
    <w:link w:val="Header"/>
    <w:uiPriority w:val="99"/>
    <w:rsid w:val="00A110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33">
      <w:bodyDiv w:val="1"/>
      <w:marLeft w:val="0"/>
      <w:marRight w:val="0"/>
      <w:marTop w:val="0"/>
      <w:marBottom w:val="0"/>
      <w:divBdr>
        <w:top w:val="none" w:sz="0" w:space="0" w:color="auto"/>
        <w:left w:val="none" w:sz="0" w:space="0" w:color="auto"/>
        <w:bottom w:val="none" w:sz="0" w:space="0" w:color="auto"/>
        <w:right w:val="none" w:sz="0" w:space="0" w:color="auto"/>
      </w:divBdr>
      <w:divsChild>
        <w:div w:id="1911572402">
          <w:marLeft w:val="0"/>
          <w:marRight w:val="0"/>
          <w:marTop w:val="0"/>
          <w:marBottom w:val="0"/>
          <w:divBdr>
            <w:top w:val="none" w:sz="0" w:space="0" w:color="auto"/>
            <w:left w:val="none" w:sz="0" w:space="0" w:color="auto"/>
            <w:bottom w:val="none" w:sz="0" w:space="0" w:color="auto"/>
            <w:right w:val="none" w:sz="0" w:space="0" w:color="auto"/>
          </w:divBdr>
          <w:divsChild>
            <w:div w:id="1735004491">
              <w:marLeft w:val="0"/>
              <w:marRight w:val="0"/>
              <w:marTop w:val="0"/>
              <w:marBottom w:val="0"/>
              <w:divBdr>
                <w:top w:val="none" w:sz="0" w:space="0" w:color="auto"/>
                <w:left w:val="none" w:sz="0" w:space="0" w:color="auto"/>
                <w:bottom w:val="none" w:sz="0" w:space="0" w:color="auto"/>
                <w:right w:val="none" w:sz="0" w:space="0" w:color="auto"/>
              </w:divBdr>
              <w:divsChild>
                <w:div w:id="16599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6891">
      <w:bodyDiv w:val="1"/>
      <w:marLeft w:val="0"/>
      <w:marRight w:val="0"/>
      <w:marTop w:val="0"/>
      <w:marBottom w:val="0"/>
      <w:divBdr>
        <w:top w:val="none" w:sz="0" w:space="0" w:color="auto"/>
        <w:left w:val="none" w:sz="0" w:space="0" w:color="auto"/>
        <w:bottom w:val="none" w:sz="0" w:space="0" w:color="auto"/>
        <w:right w:val="none" w:sz="0" w:space="0" w:color="auto"/>
      </w:divBdr>
    </w:div>
    <w:div w:id="1190144700">
      <w:bodyDiv w:val="1"/>
      <w:marLeft w:val="0"/>
      <w:marRight w:val="0"/>
      <w:marTop w:val="0"/>
      <w:marBottom w:val="0"/>
      <w:divBdr>
        <w:top w:val="none" w:sz="0" w:space="0" w:color="auto"/>
        <w:left w:val="none" w:sz="0" w:space="0" w:color="auto"/>
        <w:bottom w:val="none" w:sz="0" w:space="0" w:color="auto"/>
        <w:right w:val="none" w:sz="0" w:space="0" w:color="auto"/>
      </w:divBdr>
    </w:div>
    <w:div w:id="137700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16</cp:revision>
  <dcterms:created xsi:type="dcterms:W3CDTF">2025-08-20T10:05:00Z</dcterms:created>
  <dcterms:modified xsi:type="dcterms:W3CDTF">2025-08-25T14:18:00Z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Adobe InDesign 16.0 (Macintosh)</vt:lpwstr>
  </property>
  <property fmtid="{D5CDD505-2E9C-101B-9397-08002B2CF9AE}" pid="4" name="LastSaved">
    <vt:filetime>2024-03-26T00:00:00Z</vt:filetime>
  </property>
</Properties>
</file>